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62749F1B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CB72BD" w:rsidRPr="00CB72BD">
        <w:rPr>
          <w:rFonts w:asciiTheme="minorHAnsi" w:hAnsiTheme="minorHAnsi" w:cs="Arial"/>
        </w:rPr>
        <w:t xml:space="preserve">2 </w:t>
      </w:r>
      <w:r w:rsidR="00516327" w:rsidRPr="00CB72BD">
        <w:rPr>
          <w:rFonts w:asciiTheme="minorHAnsi" w:hAnsiTheme="minorHAnsi" w:cs="Arial"/>
        </w:rPr>
        <w:t>marca</w:t>
      </w:r>
      <w:r w:rsidR="00800487" w:rsidRPr="00CB72BD">
        <w:rPr>
          <w:rFonts w:asciiTheme="minorHAnsi" w:hAnsiTheme="minorHAnsi" w:cs="Arial"/>
        </w:rPr>
        <w:t xml:space="preserve"> 20</w:t>
      </w:r>
      <w:r w:rsidR="008B03C5" w:rsidRPr="00CB72BD">
        <w:rPr>
          <w:rFonts w:asciiTheme="minorHAnsi" w:hAnsiTheme="minorHAnsi" w:cs="Arial"/>
        </w:rPr>
        <w:t>22</w:t>
      </w:r>
      <w:r w:rsidRPr="00CB72BD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146D1F6E" w14:textId="7A577243" w:rsidR="00C838B3" w:rsidRDefault="00712634" w:rsidP="001A3EDF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>
        <w:rPr>
          <w:rFonts w:asciiTheme="minorHAnsi" w:hAnsiTheme="minorHAnsi"/>
          <w:b/>
        </w:rPr>
        <w:t xml:space="preserve">PO 2021 ROKU: </w:t>
      </w:r>
      <w:r w:rsidR="00532E4F">
        <w:rPr>
          <w:rFonts w:asciiTheme="minorHAnsi" w:hAnsiTheme="minorHAnsi"/>
          <w:b/>
        </w:rPr>
        <w:t>BLISKO</w:t>
      </w:r>
      <w:r>
        <w:rPr>
          <w:rFonts w:asciiTheme="minorHAnsi" w:hAnsiTheme="minorHAnsi"/>
          <w:b/>
        </w:rPr>
        <w:t xml:space="preserve"> TRZYKROTNY WZROST ZYSKU NETTO, </w:t>
      </w:r>
      <w:r w:rsidR="00CB72BD"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t>RYNEK TRAMWAJOWY CORAZ ISTOTNIEJSZY</w:t>
      </w:r>
    </w:p>
    <w:p w14:paraId="0381640A" w14:textId="77777777" w:rsidR="001A3EDF" w:rsidRDefault="001A3EDF" w:rsidP="001A3EDF">
      <w:pPr>
        <w:rPr>
          <w:rFonts w:asciiTheme="minorHAnsi" w:hAnsiTheme="minorHAnsi"/>
          <w:b/>
        </w:rPr>
      </w:pPr>
    </w:p>
    <w:p w14:paraId="7734DE5A" w14:textId="60C5AA2D" w:rsidR="00F2681B" w:rsidRDefault="00D53A97" w:rsidP="00D53A97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Bardzo dobre w</w:t>
      </w:r>
      <w:r w:rsidR="00CC350A">
        <w:rPr>
          <w:rFonts w:asciiTheme="minorHAnsi" w:hAnsiTheme="minorHAnsi"/>
          <w:b/>
        </w:rPr>
        <w:t xml:space="preserve">yniki finansowe </w:t>
      </w:r>
      <w:r w:rsidR="00CC350A" w:rsidRPr="00CC350A">
        <w:rPr>
          <w:rFonts w:asciiTheme="minorHAnsi" w:hAnsiTheme="minorHAnsi"/>
          <w:b/>
        </w:rPr>
        <w:t xml:space="preserve">ZUE S.A. </w:t>
      </w:r>
      <w:r>
        <w:rPr>
          <w:rFonts w:asciiTheme="minorHAnsi" w:hAnsiTheme="minorHAnsi"/>
          <w:b/>
        </w:rPr>
        <w:t xml:space="preserve">w </w:t>
      </w:r>
      <w:r w:rsidR="00CC350A" w:rsidRPr="00CC350A">
        <w:rPr>
          <w:rFonts w:asciiTheme="minorHAnsi" w:hAnsiTheme="minorHAnsi"/>
          <w:b/>
        </w:rPr>
        <w:t>2021 roku</w:t>
      </w:r>
      <w:r w:rsidR="00CC350A">
        <w:rPr>
          <w:rFonts w:asciiTheme="minorHAnsi" w:hAnsiTheme="minorHAnsi"/>
          <w:b/>
        </w:rPr>
        <w:t xml:space="preserve"> potwierdzają</w:t>
      </w:r>
      <w:r w:rsidR="00CC350A" w:rsidRPr="00CC350A">
        <w:rPr>
          <w:rFonts w:asciiTheme="minorHAnsi" w:hAnsiTheme="minorHAnsi"/>
          <w:b/>
        </w:rPr>
        <w:t xml:space="preserve"> sukcesywną poprawę rentowności realizowanych kontraktów.</w:t>
      </w:r>
      <w:r w:rsidR="00CC350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Spółka </w:t>
      </w:r>
      <w:r w:rsidR="00CC350A" w:rsidRPr="00CC350A">
        <w:rPr>
          <w:rFonts w:asciiTheme="minorHAnsi" w:hAnsiTheme="minorHAnsi"/>
          <w:b/>
        </w:rPr>
        <w:t>wygenerował</w:t>
      </w:r>
      <w:r w:rsidR="00CB72BD">
        <w:rPr>
          <w:rFonts w:asciiTheme="minorHAnsi" w:hAnsiTheme="minorHAnsi"/>
          <w:b/>
        </w:rPr>
        <w:t>a</w:t>
      </w:r>
      <w:r w:rsidR="00CC350A" w:rsidRPr="00CC350A">
        <w:rPr>
          <w:rFonts w:asciiTheme="minorHAnsi" w:hAnsiTheme="minorHAnsi"/>
          <w:b/>
        </w:rPr>
        <w:t xml:space="preserve"> w 2021 roku zysk brutto na sprzedaży </w:t>
      </w:r>
      <w:r w:rsidR="00FD0852">
        <w:rPr>
          <w:rFonts w:asciiTheme="minorHAnsi" w:hAnsiTheme="minorHAnsi"/>
          <w:b/>
        </w:rPr>
        <w:t xml:space="preserve"> w kwocie 29,9 mln</w:t>
      </w:r>
      <w:r w:rsidR="00CC350A" w:rsidRPr="00CC350A">
        <w:rPr>
          <w:rFonts w:asciiTheme="minorHAnsi" w:hAnsiTheme="minorHAnsi"/>
          <w:b/>
        </w:rPr>
        <w:t xml:space="preserve"> zł (+6,7% r/r), EBITDA </w:t>
      </w:r>
      <w:r w:rsidR="00FD0852">
        <w:rPr>
          <w:rFonts w:asciiTheme="minorHAnsi" w:hAnsiTheme="minorHAnsi"/>
          <w:b/>
        </w:rPr>
        <w:t>26,4</w:t>
      </w:r>
      <w:r w:rsidR="00CC350A" w:rsidRPr="00CC350A">
        <w:rPr>
          <w:rFonts w:asciiTheme="minorHAnsi" w:hAnsiTheme="minorHAnsi"/>
          <w:b/>
        </w:rPr>
        <w:t xml:space="preserve"> </w:t>
      </w:r>
      <w:r w:rsidR="00F2681B">
        <w:rPr>
          <w:rFonts w:asciiTheme="minorHAnsi" w:hAnsiTheme="minorHAnsi"/>
          <w:b/>
        </w:rPr>
        <w:t>mln</w:t>
      </w:r>
      <w:r w:rsidR="00CC350A" w:rsidRPr="00CC350A">
        <w:rPr>
          <w:rFonts w:asciiTheme="minorHAnsi" w:hAnsiTheme="minorHAnsi"/>
          <w:b/>
        </w:rPr>
        <w:t xml:space="preserve"> zł (+15% r/r) oraz zysk netto </w:t>
      </w:r>
      <w:r w:rsidR="00C66314">
        <w:rPr>
          <w:rFonts w:asciiTheme="minorHAnsi" w:hAnsiTheme="minorHAnsi"/>
          <w:b/>
        </w:rPr>
        <w:t>12,1</w:t>
      </w:r>
      <w:r w:rsidR="00F2681B">
        <w:rPr>
          <w:rFonts w:asciiTheme="minorHAnsi" w:hAnsiTheme="minorHAnsi"/>
          <w:b/>
        </w:rPr>
        <w:t xml:space="preserve"> mln</w:t>
      </w:r>
      <w:r w:rsidR="00CC350A" w:rsidRPr="00CC350A">
        <w:rPr>
          <w:rFonts w:asciiTheme="minorHAnsi" w:hAnsiTheme="minorHAnsi"/>
          <w:b/>
        </w:rPr>
        <w:t xml:space="preserve"> zł (</w:t>
      </w:r>
      <w:r w:rsidR="00CB72BD">
        <w:rPr>
          <w:rFonts w:asciiTheme="minorHAnsi" w:hAnsiTheme="minorHAnsi"/>
          <w:b/>
        </w:rPr>
        <w:t>+</w:t>
      </w:r>
      <w:r w:rsidR="00CC350A" w:rsidRPr="00CC350A">
        <w:rPr>
          <w:rFonts w:asciiTheme="minorHAnsi" w:hAnsiTheme="minorHAnsi"/>
          <w:b/>
        </w:rPr>
        <w:t>1</w:t>
      </w:r>
      <w:r w:rsidR="00C66314">
        <w:rPr>
          <w:rFonts w:asciiTheme="minorHAnsi" w:hAnsiTheme="minorHAnsi"/>
          <w:b/>
        </w:rPr>
        <w:t>78</w:t>
      </w:r>
      <w:r w:rsidR="00CC350A" w:rsidRPr="00CC350A">
        <w:rPr>
          <w:rFonts w:asciiTheme="minorHAnsi" w:hAnsiTheme="minorHAnsi"/>
          <w:b/>
        </w:rPr>
        <w:t>% r/r)</w:t>
      </w:r>
      <w:r w:rsidR="00F2681B" w:rsidRPr="00F2681B">
        <w:rPr>
          <w:rFonts w:asciiTheme="minorHAnsi" w:hAnsiTheme="minorHAnsi"/>
          <w:b/>
        </w:rPr>
        <w:t xml:space="preserve">. </w:t>
      </w:r>
      <w:bookmarkStart w:id="0" w:name="_Hlk95945028"/>
      <w:r w:rsidR="00CB72BD">
        <w:rPr>
          <w:rFonts w:asciiTheme="minorHAnsi" w:hAnsiTheme="minorHAnsi"/>
          <w:b/>
        </w:rPr>
        <w:t>Tak dobre wyniki operacyjne Spółka wypracowała przy nieznacznie niższych p</w:t>
      </w:r>
      <w:r w:rsidR="00F2681B" w:rsidRPr="00F2681B">
        <w:rPr>
          <w:rFonts w:asciiTheme="minorHAnsi" w:hAnsiTheme="minorHAnsi"/>
          <w:b/>
        </w:rPr>
        <w:t>rzychody ze sprzedaży</w:t>
      </w:r>
      <w:r w:rsidR="00CB72BD">
        <w:rPr>
          <w:rFonts w:asciiTheme="minorHAnsi" w:hAnsiTheme="minorHAnsi"/>
          <w:b/>
        </w:rPr>
        <w:t xml:space="preserve">, które </w:t>
      </w:r>
      <w:r w:rsidR="00F2681B">
        <w:rPr>
          <w:rFonts w:asciiTheme="minorHAnsi" w:hAnsiTheme="minorHAnsi"/>
          <w:b/>
        </w:rPr>
        <w:t xml:space="preserve">w </w:t>
      </w:r>
      <w:r w:rsidR="00F2681B" w:rsidRPr="00F2681B">
        <w:rPr>
          <w:rFonts w:asciiTheme="minorHAnsi" w:hAnsiTheme="minorHAnsi"/>
          <w:b/>
        </w:rPr>
        <w:t>2021 r</w:t>
      </w:r>
      <w:r w:rsidR="00F2681B">
        <w:rPr>
          <w:rFonts w:asciiTheme="minorHAnsi" w:hAnsiTheme="minorHAnsi"/>
          <w:b/>
        </w:rPr>
        <w:t>.</w:t>
      </w:r>
      <w:r w:rsidR="00F2681B" w:rsidRPr="00F2681B">
        <w:rPr>
          <w:rFonts w:asciiTheme="minorHAnsi" w:hAnsiTheme="minorHAnsi"/>
          <w:b/>
        </w:rPr>
        <w:t xml:space="preserve"> wyniosły 781</w:t>
      </w:r>
      <w:r w:rsidR="00F2681B">
        <w:rPr>
          <w:rFonts w:asciiTheme="minorHAnsi" w:hAnsiTheme="minorHAnsi"/>
          <w:b/>
        </w:rPr>
        <w:t>,4 mln</w:t>
      </w:r>
      <w:r w:rsidR="00F2681B" w:rsidRPr="00F2681B">
        <w:rPr>
          <w:rFonts w:asciiTheme="minorHAnsi" w:hAnsiTheme="minorHAnsi"/>
          <w:b/>
        </w:rPr>
        <w:t xml:space="preserve"> zł</w:t>
      </w:r>
      <w:r w:rsidR="00CB72BD">
        <w:rPr>
          <w:rFonts w:asciiTheme="minorHAnsi" w:hAnsiTheme="minorHAnsi"/>
          <w:b/>
        </w:rPr>
        <w:t xml:space="preserve"> (-8% r/r). </w:t>
      </w:r>
      <w:r w:rsidR="00F2681B" w:rsidRPr="00F2681B">
        <w:rPr>
          <w:rFonts w:asciiTheme="minorHAnsi" w:hAnsiTheme="minorHAnsi"/>
          <w:b/>
        </w:rPr>
        <w:t xml:space="preserve"> </w:t>
      </w:r>
    </w:p>
    <w:bookmarkEnd w:id="0"/>
    <w:p w14:paraId="21546945" w14:textId="77777777" w:rsidR="00F2681B" w:rsidRDefault="00F2681B" w:rsidP="00D53A97">
      <w:pPr>
        <w:spacing w:after="0"/>
        <w:jc w:val="both"/>
        <w:rPr>
          <w:rFonts w:asciiTheme="minorHAnsi" w:hAnsiTheme="minorHAnsi"/>
          <w:b/>
        </w:rPr>
      </w:pPr>
    </w:p>
    <w:p w14:paraId="5A06CAF5" w14:textId="27E839AD" w:rsidR="00CC350A" w:rsidRDefault="00F2681B" w:rsidP="00D53A97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ujęciu całej Grupy wyniki także prezentują się </w:t>
      </w:r>
      <w:r w:rsidR="009430ED">
        <w:rPr>
          <w:rFonts w:asciiTheme="minorHAnsi" w:hAnsiTheme="minorHAnsi"/>
          <w:b/>
        </w:rPr>
        <w:t>bardzo dobrze</w:t>
      </w:r>
      <w:r>
        <w:rPr>
          <w:rFonts w:asciiTheme="minorHAnsi" w:hAnsiTheme="minorHAnsi"/>
          <w:b/>
        </w:rPr>
        <w:t xml:space="preserve">. </w:t>
      </w:r>
      <w:bookmarkStart w:id="1" w:name="_Hlk95944897"/>
      <w:r w:rsidR="00CC350A" w:rsidRPr="00CC350A">
        <w:rPr>
          <w:rFonts w:asciiTheme="minorHAnsi" w:hAnsiTheme="minorHAnsi"/>
          <w:b/>
        </w:rPr>
        <w:t xml:space="preserve">Grupa ZUE w 2021 </w:t>
      </w:r>
      <w:r>
        <w:rPr>
          <w:rFonts w:asciiTheme="minorHAnsi" w:hAnsiTheme="minorHAnsi"/>
          <w:b/>
        </w:rPr>
        <w:t>r.</w:t>
      </w:r>
      <w:r w:rsidR="00CC350A" w:rsidRPr="00CC350A">
        <w:rPr>
          <w:rFonts w:asciiTheme="minorHAnsi" w:hAnsiTheme="minorHAnsi"/>
          <w:b/>
        </w:rPr>
        <w:t xml:space="preserve"> </w:t>
      </w:r>
      <w:r w:rsidR="004D7343">
        <w:rPr>
          <w:rFonts w:asciiTheme="minorHAnsi" w:hAnsiTheme="minorHAnsi"/>
          <w:b/>
        </w:rPr>
        <w:t>zanotowała wzrost</w:t>
      </w:r>
      <w:r w:rsidR="00CC350A" w:rsidRPr="00CC350A">
        <w:rPr>
          <w:rFonts w:asciiTheme="minorHAnsi" w:hAnsiTheme="minorHAnsi"/>
          <w:b/>
        </w:rPr>
        <w:t xml:space="preserve"> zysk</w:t>
      </w:r>
      <w:r w:rsidR="004D7343">
        <w:rPr>
          <w:rFonts w:asciiTheme="minorHAnsi" w:hAnsiTheme="minorHAnsi"/>
          <w:b/>
        </w:rPr>
        <w:t>u</w:t>
      </w:r>
      <w:r w:rsidR="00CC350A" w:rsidRPr="00CC350A">
        <w:rPr>
          <w:rFonts w:asciiTheme="minorHAnsi" w:hAnsiTheme="minorHAnsi"/>
          <w:b/>
        </w:rPr>
        <w:t xml:space="preserve"> brutto na sprzedaży </w:t>
      </w:r>
      <w:r w:rsidR="004D7343">
        <w:rPr>
          <w:rFonts w:asciiTheme="minorHAnsi" w:hAnsiTheme="minorHAnsi"/>
          <w:b/>
        </w:rPr>
        <w:t xml:space="preserve">o blisko 12% do </w:t>
      </w:r>
      <w:r w:rsidR="00BD2A71">
        <w:rPr>
          <w:rFonts w:asciiTheme="minorHAnsi" w:hAnsiTheme="minorHAnsi"/>
          <w:b/>
        </w:rPr>
        <w:t>35</w:t>
      </w:r>
      <w:r>
        <w:rPr>
          <w:rFonts w:asciiTheme="minorHAnsi" w:hAnsiTheme="minorHAnsi"/>
          <w:b/>
        </w:rPr>
        <w:t xml:space="preserve"> mln</w:t>
      </w:r>
      <w:r w:rsidR="00CC350A" w:rsidRPr="00CC350A">
        <w:rPr>
          <w:rFonts w:asciiTheme="minorHAnsi" w:hAnsiTheme="minorHAnsi"/>
          <w:b/>
        </w:rPr>
        <w:t xml:space="preserve"> zł</w:t>
      </w:r>
      <w:r w:rsidR="004D7343">
        <w:rPr>
          <w:rFonts w:asciiTheme="minorHAnsi" w:hAnsiTheme="minorHAnsi"/>
          <w:b/>
        </w:rPr>
        <w:t>.</w:t>
      </w:r>
      <w:r w:rsidR="006D02D1">
        <w:rPr>
          <w:rFonts w:asciiTheme="minorHAnsi" w:hAnsiTheme="minorHAnsi"/>
          <w:b/>
        </w:rPr>
        <w:t xml:space="preserve"> Marża brutto wzrosła do </w:t>
      </w:r>
      <w:r w:rsidR="009430ED">
        <w:rPr>
          <w:rFonts w:asciiTheme="minorHAnsi" w:hAnsiTheme="minorHAnsi"/>
          <w:b/>
        </w:rPr>
        <w:t>4,1</w:t>
      </w:r>
      <w:r w:rsidR="006D02D1">
        <w:rPr>
          <w:rFonts w:asciiTheme="minorHAnsi" w:hAnsiTheme="minorHAnsi"/>
          <w:b/>
        </w:rPr>
        <w:t xml:space="preserve">%, z 3,5% rok wcześniej. </w:t>
      </w:r>
      <w:r w:rsidR="004D7343">
        <w:rPr>
          <w:rFonts w:asciiTheme="minorHAnsi" w:hAnsiTheme="minorHAnsi"/>
          <w:b/>
        </w:rPr>
        <w:t>Z kolei</w:t>
      </w:r>
      <w:r w:rsidR="00CC350A" w:rsidRPr="00CC350A">
        <w:rPr>
          <w:rFonts w:asciiTheme="minorHAnsi" w:hAnsiTheme="minorHAnsi"/>
          <w:b/>
        </w:rPr>
        <w:t xml:space="preserve"> EBITDA </w:t>
      </w:r>
      <w:r w:rsidR="00BD2A71">
        <w:rPr>
          <w:rFonts w:asciiTheme="minorHAnsi" w:hAnsiTheme="minorHAnsi"/>
          <w:b/>
        </w:rPr>
        <w:t>wyniosła 27</w:t>
      </w:r>
      <w:r w:rsidR="00CC350A" w:rsidRPr="00CC350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mln</w:t>
      </w:r>
      <w:r w:rsidR="00CC350A" w:rsidRPr="00CC350A">
        <w:rPr>
          <w:rFonts w:asciiTheme="minorHAnsi" w:hAnsiTheme="minorHAnsi"/>
          <w:b/>
        </w:rPr>
        <w:t xml:space="preserve"> zł (+13% r/r) </w:t>
      </w:r>
      <w:r w:rsidR="00CB72BD">
        <w:rPr>
          <w:rFonts w:asciiTheme="minorHAnsi" w:hAnsiTheme="minorHAnsi"/>
          <w:b/>
        </w:rPr>
        <w:t>a</w:t>
      </w:r>
      <w:r w:rsidR="00CC350A" w:rsidRPr="00CC350A">
        <w:rPr>
          <w:rFonts w:asciiTheme="minorHAnsi" w:hAnsiTheme="minorHAnsi"/>
          <w:b/>
        </w:rPr>
        <w:t xml:space="preserve"> zysk netto </w:t>
      </w:r>
      <w:r w:rsidR="00BD2A71">
        <w:rPr>
          <w:rFonts w:asciiTheme="minorHAnsi" w:hAnsiTheme="minorHAnsi"/>
          <w:b/>
        </w:rPr>
        <w:t>11,</w:t>
      </w:r>
      <w:r w:rsidR="00D560BE">
        <w:rPr>
          <w:rFonts w:asciiTheme="minorHAnsi" w:hAnsiTheme="minorHAnsi"/>
          <w:b/>
        </w:rPr>
        <w:t>8</w:t>
      </w:r>
      <w:r w:rsidR="00CC350A" w:rsidRPr="00CC350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mln</w:t>
      </w:r>
      <w:r w:rsidR="00CC350A" w:rsidRPr="00CC350A">
        <w:rPr>
          <w:rFonts w:asciiTheme="minorHAnsi" w:hAnsiTheme="minorHAnsi"/>
          <w:b/>
        </w:rPr>
        <w:t xml:space="preserve"> zł (</w:t>
      </w:r>
      <w:r w:rsidR="00CB72BD">
        <w:rPr>
          <w:rFonts w:asciiTheme="minorHAnsi" w:hAnsiTheme="minorHAnsi"/>
          <w:b/>
        </w:rPr>
        <w:t>+</w:t>
      </w:r>
      <w:r w:rsidR="00CC350A" w:rsidRPr="00CC350A">
        <w:rPr>
          <w:rFonts w:asciiTheme="minorHAnsi" w:hAnsiTheme="minorHAnsi"/>
          <w:b/>
        </w:rPr>
        <w:t>17</w:t>
      </w:r>
      <w:r w:rsidR="00D560BE">
        <w:rPr>
          <w:rFonts w:asciiTheme="minorHAnsi" w:hAnsiTheme="minorHAnsi"/>
          <w:b/>
        </w:rPr>
        <w:t>7</w:t>
      </w:r>
      <w:r w:rsidR="00CC350A" w:rsidRPr="00CC350A">
        <w:rPr>
          <w:rFonts w:asciiTheme="minorHAnsi" w:hAnsiTheme="minorHAnsi"/>
          <w:b/>
        </w:rPr>
        <w:t xml:space="preserve">% r/r). Przychody ze sprzedaży </w:t>
      </w:r>
      <w:r w:rsidR="00CB72BD">
        <w:rPr>
          <w:rFonts w:asciiTheme="minorHAnsi" w:hAnsiTheme="minorHAnsi"/>
          <w:b/>
        </w:rPr>
        <w:t xml:space="preserve">Grupy </w:t>
      </w:r>
      <w:r w:rsidR="00CC350A" w:rsidRPr="00CC350A">
        <w:rPr>
          <w:rFonts w:asciiTheme="minorHAnsi" w:hAnsiTheme="minorHAnsi"/>
          <w:b/>
        </w:rPr>
        <w:t>ZUE wyniosły 851</w:t>
      </w:r>
      <w:r>
        <w:rPr>
          <w:rFonts w:asciiTheme="minorHAnsi" w:hAnsiTheme="minorHAnsi"/>
          <w:b/>
        </w:rPr>
        <w:t>,5 mln</w:t>
      </w:r>
      <w:r w:rsidR="00CC350A" w:rsidRPr="00CC350A">
        <w:rPr>
          <w:rFonts w:asciiTheme="minorHAnsi" w:hAnsiTheme="minorHAnsi"/>
          <w:b/>
        </w:rPr>
        <w:t xml:space="preserve"> zł</w:t>
      </w:r>
      <w:r w:rsidR="00CB72BD">
        <w:rPr>
          <w:rFonts w:asciiTheme="minorHAnsi" w:hAnsiTheme="minorHAnsi"/>
          <w:b/>
        </w:rPr>
        <w:t xml:space="preserve"> (-5,5% r/r). </w:t>
      </w:r>
    </w:p>
    <w:bookmarkEnd w:id="1"/>
    <w:p w14:paraId="26917F4E" w14:textId="77777777" w:rsidR="009430ED" w:rsidRDefault="009430ED" w:rsidP="00D53A97">
      <w:pPr>
        <w:spacing w:after="0"/>
        <w:jc w:val="both"/>
        <w:rPr>
          <w:rFonts w:asciiTheme="minorHAnsi" w:hAnsiTheme="minorHAnsi"/>
          <w:b/>
        </w:rPr>
      </w:pPr>
    </w:p>
    <w:p w14:paraId="5FD435D4" w14:textId="50EDFAF6" w:rsidR="006D02D1" w:rsidRDefault="0053217B" w:rsidP="00CB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  <w:r w:rsidRPr="0053217B">
        <w:rPr>
          <w:rFonts w:asciiTheme="minorHAnsi" w:hAnsiTheme="minorHAnsi"/>
          <w:b/>
        </w:rPr>
        <w:t xml:space="preserve">Wartość portfela zamówień Grupy </w:t>
      </w:r>
      <w:r>
        <w:rPr>
          <w:rFonts w:asciiTheme="minorHAnsi" w:hAnsiTheme="minorHAnsi"/>
          <w:b/>
        </w:rPr>
        <w:t xml:space="preserve">to </w:t>
      </w:r>
      <w:r w:rsidRPr="0053217B">
        <w:rPr>
          <w:rFonts w:asciiTheme="minorHAnsi" w:hAnsiTheme="minorHAnsi"/>
          <w:b/>
        </w:rPr>
        <w:t>ok. 1,</w:t>
      </w:r>
      <w:r w:rsidR="00263051">
        <w:rPr>
          <w:rFonts w:asciiTheme="minorHAnsi" w:hAnsiTheme="minorHAnsi"/>
          <w:b/>
        </w:rPr>
        <w:t>5</w:t>
      </w:r>
      <w:r w:rsidR="00263051" w:rsidRPr="0053217B">
        <w:rPr>
          <w:rFonts w:asciiTheme="minorHAnsi" w:hAnsiTheme="minorHAnsi"/>
          <w:b/>
        </w:rPr>
        <w:t xml:space="preserve"> </w:t>
      </w:r>
      <w:r w:rsidRPr="0053217B">
        <w:rPr>
          <w:rFonts w:asciiTheme="minorHAnsi" w:hAnsiTheme="minorHAnsi"/>
          <w:b/>
        </w:rPr>
        <w:t xml:space="preserve">mld </w:t>
      </w:r>
      <w:r w:rsidR="008C55C1">
        <w:rPr>
          <w:rFonts w:asciiTheme="minorHAnsi" w:hAnsiTheme="minorHAnsi"/>
          <w:b/>
        </w:rPr>
        <w:t>zł</w:t>
      </w:r>
      <w:r w:rsidRPr="0053217B">
        <w:rPr>
          <w:rFonts w:asciiTheme="minorHAnsi" w:hAnsiTheme="minorHAnsi"/>
          <w:b/>
        </w:rPr>
        <w:t>. Większość stanowią kontrakty kolejowe, jednak zwiększa się udział kontraktów tramwajowych.</w:t>
      </w:r>
      <w:r w:rsidR="00CB72BD">
        <w:rPr>
          <w:rFonts w:asciiTheme="minorHAnsi" w:hAnsiTheme="minorHAnsi"/>
          <w:b/>
        </w:rPr>
        <w:t xml:space="preserve"> </w:t>
      </w:r>
      <w:r w:rsidR="006D02D1" w:rsidRPr="006D02D1">
        <w:rPr>
          <w:rFonts w:asciiTheme="minorHAnsi" w:hAnsiTheme="minorHAnsi"/>
          <w:b/>
        </w:rPr>
        <w:t xml:space="preserve">Dodatkowo Spółka ma złożone najlepsze oferty w </w:t>
      </w:r>
      <w:r w:rsidR="0005416F">
        <w:rPr>
          <w:rFonts w:asciiTheme="minorHAnsi" w:hAnsiTheme="minorHAnsi"/>
          <w:b/>
        </w:rPr>
        <w:t> </w:t>
      </w:r>
      <w:r w:rsidR="006D02D1" w:rsidRPr="006D02D1">
        <w:rPr>
          <w:rFonts w:asciiTheme="minorHAnsi" w:hAnsiTheme="minorHAnsi"/>
          <w:b/>
        </w:rPr>
        <w:t xml:space="preserve">dwóch przetargach, z których potencjalny przychód dla ZUE wynosi łącznie ok. </w:t>
      </w:r>
      <w:r w:rsidR="00322BCC">
        <w:rPr>
          <w:rFonts w:asciiTheme="minorHAnsi" w:hAnsiTheme="minorHAnsi"/>
          <w:b/>
        </w:rPr>
        <w:t>83</w:t>
      </w:r>
      <w:r w:rsidR="006D02D1" w:rsidRPr="006D02D1">
        <w:rPr>
          <w:rFonts w:asciiTheme="minorHAnsi" w:hAnsiTheme="minorHAnsi"/>
          <w:b/>
        </w:rPr>
        <w:t xml:space="preserve"> mln zł netto. Spółka nadal aktywnie składa oferty w przetargach na rynku miejskim i kolejowym. </w:t>
      </w:r>
    </w:p>
    <w:p w14:paraId="11447BD1" w14:textId="77777777" w:rsidR="006D02D1" w:rsidRDefault="006D02D1" w:rsidP="00CB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</w:p>
    <w:p w14:paraId="32460926" w14:textId="10372949" w:rsidR="00832081" w:rsidRPr="006D02D1" w:rsidRDefault="006D02D1" w:rsidP="00832081">
      <w:pPr>
        <w:spacing w:after="0"/>
        <w:jc w:val="both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i/>
        </w:rPr>
        <w:t>M</w:t>
      </w:r>
      <w:r w:rsidR="00B3606A">
        <w:rPr>
          <w:rFonts w:asciiTheme="minorHAnsi" w:hAnsiTheme="minorHAnsi" w:cs="Arial"/>
          <w:i/>
        </w:rPr>
        <w:t xml:space="preserve">iniony rok był dla nas udany, </w:t>
      </w:r>
      <w:r>
        <w:rPr>
          <w:rFonts w:asciiTheme="minorHAnsi" w:hAnsiTheme="minorHAnsi" w:cs="Arial"/>
          <w:i/>
        </w:rPr>
        <w:t xml:space="preserve">pomimo rynkowych wyzwań takich jak wciąż panująca niepewność związana z pandemią czy rosnące ceny </w:t>
      </w:r>
      <w:r w:rsidR="009430ED">
        <w:rPr>
          <w:rFonts w:asciiTheme="minorHAnsi" w:hAnsiTheme="minorHAnsi" w:cs="Arial"/>
          <w:i/>
        </w:rPr>
        <w:t xml:space="preserve">surowców w drugiej połowie roku. </w:t>
      </w:r>
      <w:bookmarkStart w:id="2" w:name="_Hlk95944942"/>
      <w:r w:rsidR="00B3606A">
        <w:rPr>
          <w:rFonts w:asciiTheme="minorHAnsi" w:hAnsiTheme="minorHAnsi" w:cs="Arial"/>
          <w:i/>
        </w:rPr>
        <w:t>Szczególnie cieszy nas</w:t>
      </w:r>
      <w:r w:rsidR="0053348E">
        <w:rPr>
          <w:rFonts w:asciiTheme="minorHAnsi" w:hAnsiTheme="minorHAnsi" w:cs="Arial"/>
          <w:i/>
        </w:rPr>
        <w:t xml:space="preserve"> poprawa marży brutto na sprzedaży i</w:t>
      </w:r>
      <w:r w:rsidR="00B3606A">
        <w:rPr>
          <w:rFonts w:asciiTheme="minorHAnsi" w:hAnsiTheme="minorHAnsi" w:cs="Arial"/>
          <w:i/>
        </w:rPr>
        <w:t xml:space="preserve"> prawie trzykrotny wzrost zysku netto w stosunku do 2020 r</w:t>
      </w:r>
      <w:r w:rsidR="00532E4F">
        <w:rPr>
          <w:rFonts w:asciiTheme="minorHAnsi" w:hAnsiTheme="minorHAnsi" w:cs="Arial"/>
          <w:i/>
        </w:rPr>
        <w:t>.</w:t>
      </w:r>
      <w:r w:rsidR="00B3606A">
        <w:rPr>
          <w:rFonts w:asciiTheme="minorHAnsi" w:hAnsiTheme="minorHAnsi" w:cs="Arial"/>
          <w:i/>
        </w:rPr>
        <w:t xml:space="preserve"> </w:t>
      </w:r>
      <w:r w:rsidR="00785084" w:rsidRPr="00785084">
        <w:rPr>
          <w:rFonts w:asciiTheme="minorHAnsi" w:hAnsiTheme="minorHAnsi" w:cs="Arial"/>
          <w:i/>
        </w:rPr>
        <w:t xml:space="preserve">Jesteśmy </w:t>
      </w:r>
      <w:r w:rsidR="00B3606A">
        <w:rPr>
          <w:rFonts w:asciiTheme="minorHAnsi" w:hAnsiTheme="minorHAnsi" w:cs="Arial"/>
          <w:i/>
        </w:rPr>
        <w:t xml:space="preserve">także </w:t>
      </w:r>
      <w:r w:rsidR="00785084" w:rsidRPr="00785084">
        <w:rPr>
          <w:rFonts w:asciiTheme="minorHAnsi" w:hAnsiTheme="minorHAnsi" w:cs="Arial"/>
          <w:i/>
        </w:rPr>
        <w:t>zadowoleni z</w:t>
      </w:r>
      <w:r w:rsidR="00B3606A">
        <w:rPr>
          <w:rFonts w:asciiTheme="minorHAnsi" w:hAnsiTheme="minorHAnsi" w:cs="Arial"/>
          <w:i/>
        </w:rPr>
        <w:t xml:space="preserve"> </w:t>
      </w:r>
      <w:r w:rsidR="003E3B4D">
        <w:rPr>
          <w:rFonts w:asciiTheme="minorHAnsi" w:hAnsiTheme="minorHAnsi" w:cs="Arial"/>
          <w:i/>
        </w:rPr>
        <w:t xml:space="preserve">wypracowania przez ZUE </w:t>
      </w:r>
      <w:r w:rsidR="003E3B4D" w:rsidRPr="00B866BD">
        <w:rPr>
          <w:rFonts w:asciiTheme="minorHAnsi" w:hAnsiTheme="minorHAnsi" w:cs="Arial"/>
          <w:i/>
        </w:rPr>
        <w:t>dodatnich przepływów pieniężnych z działalności operacyjnej na poziomie 112 mln zł oraz mocnej pozycji gotówkowej na koniec roku.</w:t>
      </w:r>
      <w:r w:rsidR="00B866BD">
        <w:rPr>
          <w:rFonts w:asciiTheme="minorHAnsi" w:hAnsiTheme="minorHAnsi" w:cs="Arial"/>
          <w:i/>
        </w:rPr>
        <w:t xml:space="preserve"> </w:t>
      </w:r>
      <w:bookmarkEnd w:id="2"/>
      <w:r w:rsidR="00B24616">
        <w:rPr>
          <w:rFonts w:asciiTheme="minorHAnsi" w:hAnsiTheme="minorHAnsi" w:cs="Arial"/>
          <w:i/>
        </w:rPr>
        <w:t xml:space="preserve">Osiągnięte w </w:t>
      </w:r>
      <w:r w:rsidR="0005416F">
        <w:rPr>
          <w:rFonts w:asciiTheme="minorHAnsi" w:hAnsiTheme="minorHAnsi" w:cs="Arial"/>
          <w:i/>
        </w:rPr>
        <w:t> </w:t>
      </w:r>
      <w:r w:rsidR="00B866BD">
        <w:rPr>
          <w:rFonts w:asciiTheme="minorHAnsi" w:hAnsiTheme="minorHAnsi" w:cs="Arial"/>
          <w:i/>
        </w:rPr>
        <w:t>minionym roku</w:t>
      </w:r>
      <w:r w:rsidR="00B24616">
        <w:rPr>
          <w:rFonts w:asciiTheme="minorHAnsi" w:hAnsiTheme="minorHAnsi" w:cs="Arial"/>
          <w:i/>
        </w:rPr>
        <w:t xml:space="preserve"> w</w:t>
      </w:r>
      <w:r w:rsidR="00785084" w:rsidRPr="00785084">
        <w:rPr>
          <w:rFonts w:asciiTheme="minorHAnsi" w:hAnsiTheme="minorHAnsi" w:cs="Arial"/>
          <w:i/>
        </w:rPr>
        <w:t xml:space="preserve">yniki pokazują, że wyraźnie </w:t>
      </w:r>
      <w:r w:rsidR="00C76A82" w:rsidRPr="00785084">
        <w:rPr>
          <w:rFonts w:asciiTheme="minorHAnsi" w:hAnsiTheme="minorHAnsi" w:cs="Arial"/>
          <w:i/>
        </w:rPr>
        <w:t>spad</w:t>
      </w:r>
      <w:r w:rsidR="00C76A82">
        <w:rPr>
          <w:rFonts w:asciiTheme="minorHAnsi" w:hAnsiTheme="minorHAnsi" w:cs="Arial"/>
          <w:i/>
        </w:rPr>
        <w:t>a</w:t>
      </w:r>
      <w:r w:rsidR="00C76A82" w:rsidRPr="00785084">
        <w:rPr>
          <w:rFonts w:asciiTheme="minorHAnsi" w:hAnsiTheme="minorHAnsi" w:cs="Arial"/>
          <w:i/>
        </w:rPr>
        <w:t xml:space="preserve"> </w:t>
      </w:r>
      <w:r w:rsidR="00785084" w:rsidRPr="00785084">
        <w:rPr>
          <w:rFonts w:asciiTheme="minorHAnsi" w:hAnsiTheme="minorHAnsi" w:cs="Arial"/>
          <w:i/>
        </w:rPr>
        <w:t xml:space="preserve">w </w:t>
      </w:r>
      <w:r w:rsidR="00B24616">
        <w:rPr>
          <w:rFonts w:asciiTheme="minorHAnsi" w:hAnsiTheme="minorHAnsi" w:cs="Arial"/>
          <w:i/>
        </w:rPr>
        <w:t xml:space="preserve">naszym </w:t>
      </w:r>
      <w:r w:rsidR="00785084" w:rsidRPr="00785084">
        <w:rPr>
          <w:rFonts w:asciiTheme="minorHAnsi" w:hAnsiTheme="minorHAnsi" w:cs="Arial"/>
          <w:i/>
        </w:rPr>
        <w:t xml:space="preserve">portfelu </w:t>
      </w:r>
      <w:r w:rsidR="00BB334C">
        <w:rPr>
          <w:rFonts w:asciiTheme="minorHAnsi" w:hAnsiTheme="minorHAnsi" w:cs="Arial"/>
          <w:i/>
        </w:rPr>
        <w:t xml:space="preserve">udział </w:t>
      </w:r>
      <w:r w:rsidR="00785084" w:rsidRPr="00785084">
        <w:rPr>
          <w:rFonts w:asciiTheme="minorHAnsi" w:hAnsiTheme="minorHAnsi" w:cs="Arial"/>
          <w:i/>
        </w:rPr>
        <w:t>trudnych zadań</w:t>
      </w:r>
      <w:r w:rsidR="00F80599">
        <w:rPr>
          <w:rFonts w:asciiTheme="minorHAnsi" w:hAnsiTheme="minorHAnsi" w:cs="Arial"/>
          <w:i/>
        </w:rPr>
        <w:t xml:space="preserve"> kolejowych</w:t>
      </w:r>
      <w:r w:rsidR="00785084" w:rsidRPr="00785084">
        <w:rPr>
          <w:rFonts w:asciiTheme="minorHAnsi" w:hAnsiTheme="minorHAnsi" w:cs="Arial"/>
          <w:i/>
        </w:rPr>
        <w:t xml:space="preserve"> pozyskanych w latach 2016-2017, które po skokowym wzroście kosztów kończymy bez waloryzacji kontraktowej.</w:t>
      </w:r>
      <w:r w:rsidR="008E5CEC">
        <w:rPr>
          <w:rFonts w:asciiTheme="minorHAnsi" w:hAnsiTheme="minorHAnsi" w:cs="Arial"/>
          <w:i/>
        </w:rPr>
        <w:t xml:space="preserve"> </w:t>
      </w:r>
      <w:r w:rsidR="00D874A6">
        <w:rPr>
          <w:rFonts w:asciiTheme="minorHAnsi" w:hAnsiTheme="minorHAnsi" w:cs="Arial"/>
          <w:i/>
        </w:rPr>
        <w:t>Duża c</w:t>
      </w:r>
      <w:r w:rsidR="008E5CEC">
        <w:rPr>
          <w:rFonts w:asciiTheme="minorHAnsi" w:hAnsiTheme="minorHAnsi" w:cs="Arial"/>
          <w:i/>
        </w:rPr>
        <w:t xml:space="preserve">zęść z nich już jest zakończona, a pozostałe </w:t>
      </w:r>
      <w:r w:rsidR="00453881">
        <w:rPr>
          <w:rFonts w:asciiTheme="minorHAnsi" w:hAnsiTheme="minorHAnsi" w:cs="Arial"/>
          <w:i/>
        </w:rPr>
        <w:t>s</w:t>
      </w:r>
      <w:r>
        <w:rPr>
          <w:rFonts w:asciiTheme="minorHAnsi" w:hAnsiTheme="minorHAnsi" w:cs="Arial"/>
          <w:i/>
        </w:rPr>
        <w:t>finalizujemy</w:t>
      </w:r>
      <w:r w:rsidR="008E5CEC">
        <w:rPr>
          <w:rFonts w:asciiTheme="minorHAnsi" w:hAnsiTheme="minorHAnsi" w:cs="Arial"/>
          <w:i/>
        </w:rPr>
        <w:t xml:space="preserve"> </w:t>
      </w:r>
      <w:r w:rsidR="00B866BD">
        <w:rPr>
          <w:rFonts w:asciiTheme="minorHAnsi" w:hAnsiTheme="minorHAnsi" w:cs="Arial"/>
          <w:i/>
        </w:rPr>
        <w:t xml:space="preserve">w większości </w:t>
      </w:r>
      <w:r w:rsidR="008E5CEC">
        <w:rPr>
          <w:rFonts w:asciiTheme="minorHAnsi" w:hAnsiTheme="minorHAnsi" w:cs="Arial"/>
          <w:i/>
        </w:rPr>
        <w:t xml:space="preserve">w </w:t>
      </w:r>
      <w:r w:rsidR="0005416F">
        <w:rPr>
          <w:rFonts w:asciiTheme="minorHAnsi" w:hAnsiTheme="minorHAnsi" w:cs="Arial"/>
          <w:i/>
        </w:rPr>
        <w:t> </w:t>
      </w:r>
      <w:r w:rsidR="00F80599">
        <w:rPr>
          <w:rFonts w:asciiTheme="minorHAnsi" w:hAnsiTheme="minorHAnsi" w:cs="Arial"/>
          <w:i/>
        </w:rPr>
        <w:t>tym roku.</w:t>
      </w:r>
      <w:r w:rsidR="00785084" w:rsidRPr="00785084">
        <w:rPr>
          <w:rFonts w:asciiTheme="minorHAnsi" w:hAnsiTheme="minorHAnsi" w:cs="Arial"/>
          <w:i/>
        </w:rPr>
        <w:t xml:space="preserve"> </w:t>
      </w:r>
      <w:bookmarkStart w:id="3" w:name="_Hlk95945430"/>
      <w:r w:rsidR="00785084" w:rsidRPr="00785084">
        <w:rPr>
          <w:rFonts w:asciiTheme="minorHAnsi" w:hAnsiTheme="minorHAnsi" w:cs="Arial"/>
          <w:i/>
        </w:rPr>
        <w:t>Dzięki pozyskiwaniu nowych marżowych</w:t>
      </w:r>
      <w:r w:rsidR="0090260D">
        <w:rPr>
          <w:rFonts w:asciiTheme="minorHAnsi" w:hAnsiTheme="minorHAnsi" w:cs="Arial"/>
          <w:i/>
        </w:rPr>
        <w:t xml:space="preserve"> </w:t>
      </w:r>
      <w:r w:rsidR="0090260D" w:rsidRPr="00785084">
        <w:rPr>
          <w:rFonts w:asciiTheme="minorHAnsi" w:hAnsiTheme="minorHAnsi" w:cs="Arial"/>
          <w:i/>
        </w:rPr>
        <w:t>kontraktów</w:t>
      </w:r>
      <w:r>
        <w:rPr>
          <w:rFonts w:asciiTheme="minorHAnsi" w:hAnsiTheme="minorHAnsi" w:cs="Arial"/>
          <w:i/>
        </w:rPr>
        <w:t xml:space="preserve"> </w:t>
      </w:r>
      <w:r w:rsidR="0090260D">
        <w:rPr>
          <w:rFonts w:asciiTheme="minorHAnsi" w:hAnsiTheme="minorHAnsi" w:cs="Arial"/>
          <w:i/>
        </w:rPr>
        <w:t>- również na rynku tramwajowym -</w:t>
      </w:r>
      <w:r w:rsidR="00785084" w:rsidRPr="00785084">
        <w:rPr>
          <w:rFonts w:asciiTheme="minorHAnsi" w:hAnsiTheme="minorHAnsi" w:cs="Arial"/>
          <w:i/>
        </w:rPr>
        <w:t xml:space="preserve"> </w:t>
      </w:r>
      <w:r w:rsidR="00CC6683">
        <w:rPr>
          <w:rFonts w:asciiTheme="minorHAnsi" w:hAnsiTheme="minorHAnsi" w:cs="Arial"/>
          <w:i/>
        </w:rPr>
        <w:t>sytuacja</w:t>
      </w:r>
      <w:r w:rsidR="00785084" w:rsidRPr="00785084">
        <w:rPr>
          <w:rFonts w:asciiTheme="minorHAnsi" w:hAnsiTheme="minorHAnsi" w:cs="Arial"/>
          <w:i/>
        </w:rPr>
        <w:t xml:space="preserve"> finansowa spółki jest</w:t>
      </w:r>
      <w:r w:rsidR="00FC0E39">
        <w:rPr>
          <w:rFonts w:asciiTheme="minorHAnsi" w:hAnsiTheme="minorHAnsi" w:cs="Arial"/>
          <w:i/>
        </w:rPr>
        <w:t xml:space="preserve"> </w:t>
      </w:r>
      <w:r w:rsidR="00707F99">
        <w:rPr>
          <w:rFonts w:asciiTheme="minorHAnsi" w:hAnsiTheme="minorHAnsi" w:cs="Arial"/>
          <w:i/>
        </w:rPr>
        <w:t>dobra</w:t>
      </w:r>
      <w:r w:rsidR="00CC6683">
        <w:rPr>
          <w:rFonts w:asciiTheme="minorHAnsi" w:hAnsiTheme="minorHAnsi" w:cs="Arial"/>
          <w:i/>
        </w:rPr>
        <w:t xml:space="preserve">, a perspektywy </w:t>
      </w:r>
      <w:r w:rsidR="00573C5D">
        <w:rPr>
          <w:rFonts w:asciiTheme="minorHAnsi" w:hAnsiTheme="minorHAnsi" w:cs="Arial"/>
          <w:i/>
        </w:rPr>
        <w:t>wyglądają obiecując</w:t>
      </w:r>
      <w:r w:rsidR="009430ED">
        <w:rPr>
          <w:rFonts w:asciiTheme="minorHAnsi" w:hAnsiTheme="minorHAnsi" w:cs="Arial"/>
          <w:i/>
        </w:rPr>
        <w:t xml:space="preserve">o. </w:t>
      </w:r>
      <w:bookmarkEnd w:id="3"/>
      <w:r w:rsidR="00686F08">
        <w:rPr>
          <w:rFonts w:asciiTheme="minorHAnsi" w:hAnsiTheme="minorHAnsi" w:cs="Arial"/>
          <w:i/>
        </w:rPr>
        <w:t>Nasz</w:t>
      </w:r>
      <w:r w:rsidR="00785084" w:rsidRPr="00785084">
        <w:rPr>
          <w:rFonts w:asciiTheme="minorHAnsi" w:hAnsiTheme="minorHAnsi" w:cs="Arial"/>
          <w:i/>
        </w:rPr>
        <w:t xml:space="preserve"> bezpieczny portfel zamówień</w:t>
      </w:r>
      <w:r w:rsidR="00686F08">
        <w:rPr>
          <w:rFonts w:asciiTheme="minorHAnsi" w:hAnsiTheme="minorHAnsi" w:cs="Arial"/>
          <w:i/>
        </w:rPr>
        <w:t xml:space="preserve"> sprawia</w:t>
      </w:r>
      <w:r w:rsidR="00785084" w:rsidRPr="00785084">
        <w:rPr>
          <w:rFonts w:asciiTheme="minorHAnsi" w:hAnsiTheme="minorHAnsi" w:cs="Arial"/>
          <w:i/>
        </w:rPr>
        <w:t xml:space="preserve">, </w:t>
      </w:r>
      <w:r w:rsidR="00686F08">
        <w:rPr>
          <w:rFonts w:asciiTheme="minorHAnsi" w:hAnsiTheme="minorHAnsi" w:cs="Arial"/>
          <w:i/>
        </w:rPr>
        <w:t>że możemy</w:t>
      </w:r>
      <w:r w:rsidR="00785084" w:rsidRPr="00785084">
        <w:rPr>
          <w:rFonts w:asciiTheme="minorHAnsi" w:hAnsiTheme="minorHAnsi" w:cs="Arial"/>
          <w:i/>
        </w:rPr>
        <w:t xml:space="preserve"> rozważn</w:t>
      </w:r>
      <w:r w:rsidR="00B866BD">
        <w:rPr>
          <w:rFonts w:asciiTheme="minorHAnsi" w:hAnsiTheme="minorHAnsi" w:cs="Arial"/>
          <w:i/>
        </w:rPr>
        <w:t>i</w:t>
      </w:r>
      <w:r w:rsidR="00785084" w:rsidRPr="00785084">
        <w:rPr>
          <w:rFonts w:asciiTheme="minorHAnsi" w:hAnsiTheme="minorHAnsi" w:cs="Arial"/>
          <w:i/>
        </w:rPr>
        <w:t xml:space="preserve">e </w:t>
      </w:r>
      <w:r w:rsidR="00B866BD">
        <w:rPr>
          <w:rFonts w:asciiTheme="minorHAnsi" w:hAnsiTheme="minorHAnsi" w:cs="Arial"/>
          <w:i/>
        </w:rPr>
        <w:t>podchodzić</w:t>
      </w:r>
      <w:r w:rsidR="00B866BD" w:rsidRPr="00785084">
        <w:rPr>
          <w:rFonts w:asciiTheme="minorHAnsi" w:hAnsiTheme="minorHAnsi" w:cs="Arial"/>
          <w:i/>
        </w:rPr>
        <w:t xml:space="preserve"> </w:t>
      </w:r>
      <w:r w:rsidR="00785084" w:rsidRPr="00785084">
        <w:rPr>
          <w:rFonts w:asciiTheme="minorHAnsi" w:hAnsiTheme="minorHAnsi" w:cs="Arial"/>
          <w:i/>
        </w:rPr>
        <w:t>do pozyskiwania nowych zleceń, bez presji wygrania przetargu za każdą cenę.</w:t>
      </w:r>
      <w:r w:rsidR="00CE66FA">
        <w:rPr>
          <w:rFonts w:asciiTheme="minorHAnsi" w:hAnsiTheme="minorHAnsi" w:cs="Arial"/>
          <w:i/>
        </w:rPr>
        <w:t xml:space="preserve"> </w:t>
      </w:r>
      <w:r w:rsidR="00686F08">
        <w:rPr>
          <w:rFonts w:asciiTheme="minorHAnsi" w:hAnsiTheme="minorHAnsi" w:cs="Arial"/>
          <w:i/>
        </w:rPr>
        <w:t xml:space="preserve">Cały czas </w:t>
      </w:r>
      <w:r w:rsidR="00CE66FA">
        <w:rPr>
          <w:rFonts w:asciiTheme="minorHAnsi" w:hAnsiTheme="minorHAnsi" w:cs="Arial"/>
          <w:i/>
        </w:rPr>
        <w:t xml:space="preserve">także </w:t>
      </w:r>
      <w:r w:rsidR="00686F08">
        <w:rPr>
          <w:rFonts w:asciiTheme="minorHAnsi" w:hAnsiTheme="minorHAnsi" w:cs="Arial"/>
          <w:i/>
        </w:rPr>
        <w:t>p</w:t>
      </w:r>
      <w:r w:rsidR="00785084" w:rsidRPr="00785084">
        <w:rPr>
          <w:rFonts w:asciiTheme="minorHAnsi" w:hAnsiTheme="minorHAnsi" w:cs="Arial"/>
          <w:i/>
        </w:rPr>
        <w:t>rzygotowuje</w:t>
      </w:r>
      <w:r w:rsidR="00686F08">
        <w:rPr>
          <w:rFonts w:asciiTheme="minorHAnsi" w:hAnsiTheme="minorHAnsi" w:cs="Arial"/>
          <w:i/>
        </w:rPr>
        <w:t>my</w:t>
      </w:r>
      <w:r w:rsidR="00785084" w:rsidRPr="00785084">
        <w:rPr>
          <w:rFonts w:asciiTheme="minorHAnsi" w:hAnsiTheme="minorHAnsi" w:cs="Arial"/>
          <w:i/>
        </w:rPr>
        <w:t xml:space="preserve"> </w:t>
      </w:r>
      <w:r w:rsidR="00686F08">
        <w:rPr>
          <w:rFonts w:asciiTheme="minorHAnsi" w:hAnsiTheme="minorHAnsi" w:cs="Arial"/>
          <w:i/>
        </w:rPr>
        <w:t xml:space="preserve">nowe </w:t>
      </w:r>
      <w:r w:rsidR="00785084" w:rsidRPr="00785084">
        <w:rPr>
          <w:rFonts w:asciiTheme="minorHAnsi" w:hAnsiTheme="minorHAnsi" w:cs="Arial"/>
          <w:i/>
        </w:rPr>
        <w:t>oferty przetargowe na zadania infrastrukturalne</w:t>
      </w:r>
      <w:r w:rsidR="008D1894">
        <w:rPr>
          <w:rFonts w:asciiTheme="minorHAnsi" w:hAnsiTheme="minorHAnsi" w:cs="Arial"/>
          <w:i/>
        </w:rPr>
        <w:t>, także zagraniczne</w:t>
      </w:r>
      <w:r w:rsidR="00044807" w:rsidRPr="00785084" w:rsidDel="00044807">
        <w:rPr>
          <w:rFonts w:asciiTheme="minorHAnsi" w:hAnsiTheme="minorHAnsi" w:cs="Arial"/>
          <w:i/>
        </w:rPr>
        <w:t xml:space="preserve"> </w:t>
      </w:r>
      <w:r w:rsidR="00785084">
        <w:rPr>
          <w:rFonts w:asciiTheme="minorHAnsi" w:hAnsiTheme="minorHAnsi" w:cs="Arial"/>
          <w:i/>
        </w:rPr>
        <w:t xml:space="preserve"> </w:t>
      </w:r>
      <w:r w:rsidR="00832081" w:rsidRPr="006D02D1">
        <w:rPr>
          <w:rFonts w:asciiTheme="minorHAnsi" w:hAnsiTheme="minorHAnsi" w:cs="Arial"/>
          <w:b/>
          <w:bCs/>
        </w:rPr>
        <w:t>–</w:t>
      </w:r>
      <w:r w:rsidR="00832081" w:rsidRPr="006D02D1">
        <w:rPr>
          <w:rFonts w:asciiTheme="minorHAnsi" w:hAnsiTheme="minorHAnsi" w:cs="Arial"/>
          <w:b/>
          <w:bCs/>
          <w:i/>
        </w:rPr>
        <w:t xml:space="preserve"> </w:t>
      </w:r>
      <w:r w:rsidR="009430ED" w:rsidRPr="00CB72BD">
        <w:rPr>
          <w:rFonts w:asciiTheme="minorHAnsi" w:hAnsiTheme="minorHAnsi" w:cs="Arial"/>
        </w:rPr>
        <w:t>mówi</w:t>
      </w:r>
      <w:r w:rsidR="009430ED">
        <w:rPr>
          <w:rFonts w:asciiTheme="minorHAnsi" w:hAnsiTheme="minorHAnsi" w:cs="Arial"/>
          <w:i/>
        </w:rPr>
        <w:t xml:space="preserve"> </w:t>
      </w:r>
      <w:r w:rsidR="009430ED" w:rsidRPr="00654727">
        <w:rPr>
          <w:rFonts w:asciiTheme="minorHAnsi" w:hAnsiTheme="minorHAnsi" w:cs="Arial"/>
          <w:b/>
          <w:bCs/>
        </w:rPr>
        <w:t>Wiesław Nowak, Prezes Zarządu ZUE S.A.</w:t>
      </w:r>
      <w:r w:rsidR="009430ED">
        <w:rPr>
          <w:rFonts w:asciiTheme="minorHAnsi" w:hAnsiTheme="minorHAnsi" w:cs="Arial"/>
          <w:b/>
          <w:bCs/>
        </w:rPr>
        <w:t xml:space="preserve"> </w:t>
      </w:r>
    </w:p>
    <w:p w14:paraId="6EDBACD9" w14:textId="04D6DA4C" w:rsidR="003D352C" w:rsidRDefault="003D352C" w:rsidP="00CB715E">
      <w:pPr>
        <w:spacing w:after="0"/>
        <w:jc w:val="both"/>
        <w:rPr>
          <w:rFonts w:asciiTheme="minorHAnsi" w:hAnsiTheme="minorHAnsi" w:cs="Arial"/>
        </w:rPr>
      </w:pPr>
    </w:p>
    <w:p w14:paraId="61AAA029" w14:textId="1FCDF09F" w:rsidR="003706F0" w:rsidRDefault="003706F0" w:rsidP="005A17B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lastRenderedPageBreak/>
        <w:t xml:space="preserve">WYNIKI FINANSOWE </w:t>
      </w:r>
      <w:r w:rsidR="002454C0" w:rsidRPr="002454C0">
        <w:rPr>
          <w:rFonts w:asciiTheme="minorHAnsi" w:hAnsiTheme="minorHAnsi" w:cs="Arial"/>
          <w:b/>
        </w:rPr>
        <w:t>–</w:t>
      </w:r>
      <w:r w:rsidRPr="002454C0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SZCZEGÓŁY</w:t>
      </w:r>
    </w:p>
    <w:p w14:paraId="19CB0CE3" w14:textId="520D071C" w:rsidR="003171D0" w:rsidRDefault="001A3EDF" w:rsidP="003171D0">
      <w:pPr>
        <w:spacing w:after="0"/>
        <w:jc w:val="both"/>
        <w:rPr>
          <w:rFonts w:asciiTheme="minorHAnsi" w:hAnsiTheme="minorHAnsi" w:cs="Arial"/>
        </w:rPr>
      </w:pPr>
      <w:r w:rsidRPr="001A3EDF">
        <w:rPr>
          <w:rFonts w:asciiTheme="minorHAnsi" w:hAnsiTheme="minorHAnsi" w:cs="Arial"/>
        </w:rPr>
        <w:t>Łączna wartość przychodów wygenerowanych przez Grupę ZUE wynosi 851</w:t>
      </w:r>
      <w:r w:rsidR="00D10E3B">
        <w:rPr>
          <w:rFonts w:asciiTheme="minorHAnsi" w:hAnsiTheme="minorHAnsi" w:cs="Arial"/>
        </w:rPr>
        <w:t xml:space="preserve">,5 mln </w:t>
      </w:r>
      <w:r w:rsidR="00FF0050">
        <w:rPr>
          <w:rFonts w:asciiTheme="minorHAnsi" w:hAnsiTheme="minorHAnsi" w:cs="Arial"/>
        </w:rPr>
        <w:t>zł</w:t>
      </w:r>
      <w:r w:rsidRPr="001A3EDF">
        <w:rPr>
          <w:rFonts w:asciiTheme="minorHAnsi" w:hAnsiTheme="minorHAnsi" w:cs="Arial"/>
        </w:rPr>
        <w:t>. Największy udział w przychodach Grupy ma działalność budowlana prowadzona przez ZUE</w:t>
      </w:r>
      <w:r w:rsidR="00004EBE">
        <w:rPr>
          <w:rFonts w:asciiTheme="minorHAnsi" w:hAnsiTheme="minorHAnsi" w:cs="Arial"/>
        </w:rPr>
        <w:t xml:space="preserve"> </w:t>
      </w:r>
      <w:r w:rsidRPr="001A3EDF">
        <w:rPr>
          <w:rFonts w:asciiTheme="minorHAnsi" w:hAnsiTheme="minorHAnsi" w:cs="Arial"/>
        </w:rPr>
        <w:t>(90%).</w:t>
      </w:r>
    </w:p>
    <w:p w14:paraId="0D11811D" w14:textId="77777777" w:rsidR="001A3EDF" w:rsidRDefault="001A3EDF" w:rsidP="003171D0">
      <w:pPr>
        <w:spacing w:after="0"/>
        <w:jc w:val="both"/>
        <w:rPr>
          <w:rFonts w:asciiTheme="minorHAnsi" w:hAnsiTheme="minorHAnsi" w:cs="Arial"/>
        </w:rPr>
      </w:pPr>
    </w:p>
    <w:p w14:paraId="5CBA1642" w14:textId="1B8C0254" w:rsidR="00B67015" w:rsidRDefault="00892207" w:rsidP="00F46D23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76A751EB" w14:textId="77777777" w:rsidR="00B637FC" w:rsidRDefault="00B637FC" w:rsidP="0083538A">
      <w:pPr>
        <w:spacing w:after="0"/>
        <w:jc w:val="both"/>
        <w:rPr>
          <w:rFonts w:asciiTheme="minorHAnsi" w:hAnsiTheme="minorHAnsi" w:cs="Arial"/>
          <w:bCs/>
        </w:rPr>
      </w:pPr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111"/>
        <w:gridCol w:w="1036"/>
        <w:gridCol w:w="1139"/>
        <w:gridCol w:w="1134"/>
        <w:gridCol w:w="1201"/>
        <w:gridCol w:w="1062"/>
      </w:tblGrid>
      <w:tr w:rsidR="00F63430" w:rsidRPr="00754A5D" w14:paraId="281E77C2" w14:textId="77777777" w:rsidTr="006D02D1">
        <w:trPr>
          <w:trHeight w:val="232"/>
        </w:trPr>
        <w:tc>
          <w:tcPr>
            <w:tcW w:w="2248" w:type="dxa"/>
            <w:vMerge w:val="restart"/>
            <w:shd w:val="clear" w:color="000000" w:fill="0070C0"/>
            <w:noWrap/>
            <w:vAlign w:val="center"/>
            <w:hideMark/>
          </w:tcPr>
          <w:p w14:paraId="58C18613" w14:textId="77777777" w:rsidR="00754A5D" w:rsidRPr="00754A5D" w:rsidRDefault="00754A5D" w:rsidP="00754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3286" w:type="dxa"/>
            <w:gridSpan w:val="3"/>
            <w:shd w:val="clear" w:color="000000" w:fill="0070C0"/>
            <w:vAlign w:val="center"/>
            <w:hideMark/>
          </w:tcPr>
          <w:p w14:paraId="13416251" w14:textId="4BCB712B" w:rsidR="00754A5D" w:rsidRPr="00754A5D" w:rsidRDefault="00CD5034" w:rsidP="00754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CD5034">
              <w:rPr>
                <w:rFonts w:eastAsia="Times New Roman" w:cs="Calibri"/>
                <w:b/>
                <w:bCs/>
                <w:color w:val="FFFFFF"/>
                <w:lang w:eastAsia="pl-PL"/>
              </w:rPr>
              <w:t>ZUE S.A.</w:t>
            </w:r>
          </w:p>
        </w:tc>
        <w:tc>
          <w:tcPr>
            <w:tcW w:w="3397" w:type="dxa"/>
            <w:gridSpan w:val="3"/>
            <w:shd w:val="clear" w:color="000000" w:fill="0070C0"/>
            <w:vAlign w:val="center"/>
            <w:hideMark/>
          </w:tcPr>
          <w:p w14:paraId="4E6587FB" w14:textId="77777777" w:rsidR="00754A5D" w:rsidRPr="00754A5D" w:rsidRDefault="00754A5D" w:rsidP="00754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Grupa ZUE</w:t>
            </w:r>
          </w:p>
        </w:tc>
      </w:tr>
      <w:tr w:rsidR="006D02D1" w:rsidRPr="00754A5D" w14:paraId="2E7C4B0C" w14:textId="77777777" w:rsidTr="006D02D1">
        <w:trPr>
          <w:trHeight w:val="232"/>
        </w:trPr>
        <w:tc>
          <w:tcPr>
            <w:tcW w:w="2248" w:type="dxa"/>
            <w:vMerge/>
            <w:vAlign w:val="center"/>
            <w:hideMark/>
          </w:tcPr>
          <w:p w14:paraId="33E52392" w14:textId="77777777" w:rsidR="00754A5D" w:rsidRPr="00754A5D" w:rsidRDefault="00754A5D" w:rsidP="00754A5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1111" w:type="dxa"/>
            <w:shd w:val="clear" w:color="000000" w:fill="0070C0"/>
            <w:vAlign w:val="center"/>
            <w:hideMark/>
          </w:tcPr>
          <w:p w14:paraId="78926690" w14:textId="10A2D5E1" w:rsidR="00754A5D" w:rsidRPr="00754A5D" w:rsidRDefault="00754A5D" w:rsidP="006D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2021</w:t>
            </w:r>
          </w:p>
        </w:tc>
        <w:tc>
          <w:tcPr>
            <w:tcW w:w="1036" w:type="dxa"/>
            <w:shd w:val="clear" w:color="000000" w:fill="0070C0"/>
            <w:vAlign w:val="center"/>
            <w:hideMark/>
          </w:tcPr>
          <w:p w14:paraId="237589F1" w14:textId="51F3C35F" w:rsidR="00754A5D" w:rsidRPr="00754A5D" w:rsidRDefault="00754A5D" w:rsidP="006D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2020</w:t>
            </w:r>
          </w:p>
        </w:tc>
        <w:tc>
          <w:tcPr>
            <w:tcW w:w="1139" w:type="dxa"/>
            <w:shd w:val="clear" w:color="000000" w:fill="0070C0"/>
            <w:vAlign w:val="center"/>
            <w:hideMark/>
          </w:tcPr>
          <w:p w14:paraId="6F399E1E" w14:textId="0F9AFAEB" w:rsidR="00754A5D" w:rsidRPr="00754A5D" w:rsidRDefault="00754A5D" w:rsidP="006D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Zmiana</w:t>
            </w:r>
          </w:p>
        </w:tc>
        <w:tc>
          <w:tcPr>
            <w:tcW w:w="1134" w:type="dxa"/>
            <w:shd w:val="clear" w:color="000000" w:fill="0070C0"/>
            <w:vAlign w:val="center"/>
            <w:hideMark/>
          </w:tcPr>
          <w:p w14:paraId="1073CE40" w14:textId="241DBE43" w:rsidR="00754A5D" w:rsidRPr="00754A5D" w:rsidRDefault="00754A5D" w:rsidP="006D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2021</w:t>
            </w:r>
          </w:p>
        </w:tc>
        <w:tc>
          <w:tcPr>
            <w:tcW w:w="1201" w:type="dxa"/>
            <w:shd w:val="clear" w:color="000000" w:fill="0070C0"/>
            <w:noWrap/>
            <w:vAlign w:val="center"/>
            <w:hideMark/>
          </w:tcPr>
          <w:p w14:paraId="45BC2FB6" w14:textId="4798AFF6" w:rsidR="00754A5D" w:rsidRPr="00754A5D" w:rsidRDefault="00754A5D" w:rsidP="006D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2020</w:t>
            </w:r>
          </w:p>
        </w:tc>
        <w:tc>
          <w:tcPr>
            <w:tcW w:w="1062" w:type="dxa"/>
            <w:shd w:val="clear" w:color="000000" w:fill="0070C0"/>
            <w:vAlign w:val="center"/>
            <w:hideMark/>
          </w:tcPr>
          <w:p w14:paraId="5F7F3760" w14:textId="29469CFC" w:rsidR="00754A5D" w:rsidRPr="00754A5D" w:rsidRDefault="006D02D1" w:rsidP="006D02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Z</w:t>
            </w:r>
            <w:r w:rsidR="00754A5D" w:rsidRPr="00754A5D">
              <w:rPr>
                <w:rFonts w:eastAsia="Times New Roman" w:cs="Calibri"/>
                <w:b/>
                <w:bCs/>
                <w:color w:val="FFFFFF"/>
                <w:lang w:eastAsia="pl-PL"/>
              </w:rPr>
              <w:t>miana</w:t>
            </w:r>
          </w:p>
        </w:tc>
      </w:tr>
      <w:tr w:rsidR="00EF3D17" w:rsidRPr="00754A5D" w14:paraId="56D11156" w14:textId="77777777" w:rsidTr="006D02D1">
        <w:trPr>
          <w:trHeight w:val="232"/>
        </w:trPr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7157D7C9" w14:textId="77777777" w:rsidR="00F63430" w:rsidRPr="00CB72BD" w:rsidRDefault="00F6343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72BD">
              <w:rPr>
                <w:rFonts w:eastAsia="Times New Roman" w:cs="Calibri"/>
                <w:color w:val="000000"/>
                <w:lang w:eastAsia="pl-PL"/>
              </w:rPr>
              <w:t>Przychody ze sprzedaży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1FE1E59" w14:textId="10C2A897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sz w:val="20"/>
                <w:szCs w:val="20"/>
              </w:rPr>
              <w:t>781 383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CDF1E91" w14:textId="6D02B20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sz w:val="20"/>
                <w:szCs w:val="20"/>
              </w:rPr>
              <w:t>849 649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6A4592C" w14:textId="3905BF90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-8,0%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FDC52C" w14:textId="327F312D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sz w:val="20"/>
                <w:szCs w:val="20"/>
              </w:rPr>
              <w:t>851 450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782212B" w14:textId="71D321E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sz w:val="20"/>
                <w:szCs w:val="20"/>
              </w:rPr>
              <w:t>901 358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63F55F2" w14:textId="29191269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-5,5%</w:t>
            </w:r>
          </w:p>
        </w:tc>
      </w:tr>
      <w:tr w:rsidR="00EF3D17" w:rsidRPr="00754A5D" w14:paraId="688588AA" w14:textId="77777777" w:rsidTr="006D02D1">
        <w:trPr>
          <w:trHeight w:val="232"/>
        </w:trPr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2D92E3B7" w14:textId="77777777" w:rsidR="00F63430" w:rsidRPr="00CB72BD" w:rsidRDefault="00F6343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72BD">
              <w:rPr>
                <w:rFonts w:eastAsia="Times New Roman" w:cs="Calibri"/>
                <w:color w:val="000000"/>
                <w:lang w:eastAsia="pl-PL"/>
              </w:rPr>
              <w:t>Zysk brutto na sprzedaży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736A44A" w14:textId="4FFF1EB8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29 912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49AFA9" w14:textId="01EB856A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28 023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3E494C6" w14:textId="2C92CC2C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C5A7B" w14:textId="530BCDD5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35 036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797DF66" w14:textId="7EFCC77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31 318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862272B" w14:textId="0FDC66AA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11,</w:t>
            </w:r>
            <w:r w:rsidR="009430ED"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6D02D1" w:rsidRPr="00754A5D" w14:paraId="53F95C60" w14:textId="77777777" w:rsidTr="006D02D1">
        <w:trPr>
          <w:trHeight w:val="232"/>
        </w:trPr>
        <w:tc>
          <w:tcPr>
            <w:tcW w:w="2248" w:type="dxa"/>
            <w:shd w:val="clear" w:color="auto" w:fill="auto"/>
            <w:noWrap/>
            <w:vAlign w:val="center"/>
          </w:tcPr>
          <w:p w14:paraId="0A689557" w14:textId="1485C6F1" w:rsidR="006D02D1" w:rsidRPr="00CB72BD" w:rsidRDefault="006D02D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Marża brutto</w:t>
            </w:r>
            <w:r w:rsidR="002707B0">
              <w:rPr>
                <w:rFonts w:eastAsia="Times New Roman" w:cs="Calibri"/>
                <w:color w:val="000000"/>
                <w:lang w:eastAsia="pl-PL"/>
              </w:rPr>
              <w:t xml:space="preserve"> na sprzedaży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935E7D2" w14:textId="595C2602" w:rsidR="006D02D1" w:rsidRPr="002707B0" w:rsidRDefault="006D02D1" w:rsidP="006D02D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3,8%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40B4C7D" w14:textId="0DAB65A4" w:rsidR="006D02D1" w:rsidRPr="002707B0" w:rsidRDefault="006D02D1" w:rsidP="006D02D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3,3%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823226" w14:textId="43CE25F9" w:rsidR="006D02D1" w:rsidRPr="002707B0" w:rsidRDefault="006D02D1" w:rsidP="006D02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 xml:space="preserve">+ 0,5 </w:t>
            </w:r>
            <w:proofErr w:type="spellStart"/>
            <w:r w:rsidRPr="002707B0">
              <w:rPr>
                <w:rFonts w:cs="Calibri"/>
                <w:color w:val="000000"/>
                <w:sz w:val="20"/>
                <w:szCs w:val="20"/>
              </w:rPr>
              <w:t>p.p</w:t>
            </w:r>
            <w:proofErr w:type="spellEnd"/>
            <w:r w:rsidRPr="002707B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AB45F" w14:textId="2FFC693E" w:rsidR="006D02D1" w:rsidRPr="002707B0" w:rsidRDefault="006D02D1" w:rsidP="006D02D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4,1%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4766ED0" w14:textId="07CCE57C" w:rsidR="006D02D1" w:rsidRPr="002707B0" w:rsidRDefault="002707B0" w:rsidP="006D02D1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3,5%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E85F448" w14:textId="23A00E65" w:rsidR="006D02D1" w:rsidRPr="002707B0" w:rsidRDefault="002707B0" w:rsidP="006D02D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 xml:space="preserve">+ 0,6 </w:t>
            </w:r>
            <w:proofErr w:type="spellStart"/>
            <w:r w:rsidRPr="002707B0">
              <w:rPr>
                <w:rFonts w:cs="Calibri"/>
                <w:color w:val="000000"/>
                <w:sz w:val="20"/>
                <w:szCs w:val="20"/>
              </w:rPr>
              <w:t>p.p</w:t>
            </w:r>
            <w:proofErr w:type="spellEnd"/>
            <w:r w:rsidRPr="002707B0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F3D17" w:rsidRPr="00754A5D" w14:paraId="75414F5A" w14:textId="77777777" w:rsidTr="006D02D1">
        <w:trPr>
          <w:trHeight w:val="232"/>
        </w:trPr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65D8DF43" w14:textId="656C4B6F" w:rsidR="00F63430" w:rsidRPr="00CB72BD" w:rsidRDefault="00F6343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72BD">
              <w:rPr>
                <w:rFonts w:eastAsia="Times New Roman" w:cs="Calibri"/>
                <w:color w:val="000000"/>
                <w:lang w:eastAsia="pl-PL"/>
              </w:rPr>
              <w:t>EBIT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BF9F0B2" w14:textId="533367AC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13 710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E93B0F5" w14:textId="5758D202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9 782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2F88E1C" w14:textId="3B6728D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40,</w:t>
            </w:r>
            <w:r w:rsidR="009430ED"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0793F" w14:textId="3B2E8E72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14 16</w:t>
            </w:r>
            <w:r w:rsidR="00EB33B8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9E8651D" w14:textId="55EE3CF9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10 620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37BF3B5" w14:textId="233F0AA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33,</w:t>
            </w:r>
            <w:r w:rsidR="009430ED"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EF3D17" w:rsidRPr="00754A5D" w14:paraId="106F36C8" w14:textId="77777777" w:rsidTr="006D02D1">
        <w:trPr>
          <w:trHeight w:val="232"/>
        </w:trPr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658E1F69" w14:textId="77777777" w:rsidR="00F63430" w:rsidRPr="00CB72BD" w:rsidRDefault="00F6343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72BD">
              <w:rPr>
                <w:rFonts w:eastAsia="Times New Roman" w:cs="Calibri"/>
                <w:color w:val="000000"/>
                <w:lang w:eastAsia="pl-PL"/>
              </w:rPr>
              <w:t>EBITDA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857F8C2" w14:textId="38E9B5A0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iCs/>
                <w:sz w:val="20"/>
                <w:szCs w:val="20"/>
              </w:rPr>
              <w:t>26 370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1EED663" w14:textId="309500FA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iCs/>
                <w:sz w:val="20"/>
                <w:szCs w:val="20"/>
              </w:rPr>
              <w:t>22 919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2A35860" w14:textId="38AB5C6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15,</w:t>
            </w:r>
            <w:r w:rsidR="009430ED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22E80" w14:textId="041B7380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iCs/>
                <w:sz w:val="20"/>
                <w:szCs w:val="20"/>
              </w:rPr>
              <w:t>27 05</w:t>
            </w:r>
            <w:r w:rsidR="00EB33B8"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03EA3E5" w14:textId="246DF59D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iCs/>
                <w:sz w:val="20"/>
                <w:szCs w:val="20"/>
              </w:rPr>
              <w:t>23 926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E222EEE" w14:textId="495ED801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13,</w:t>
            </w:r>
            <w:r w:rsidR="009430ED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EF3D17" w:rsidRPr="00754A5D" w14:paraId="3BE6365A" w14:textId="77777777" w:rsidTr="006D02D1">
        <w:trPr>
          <w:trHeight w:val="232"/>
        </w:trPr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159553BA" w14:textId="77777777" w:rsidR="00F63430" w:rsidRPr="00CB72BD" w:rsidRDefault="00F6343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72BD">
              <w:rPr>
                <w:rFonts w:eastAsia="Times New Roman" w:cs="Calibri"/>
                <w:color w:val="000000"/>
                <w:lang w:eastAsia="pl-PL"/>
              </w:rPr>
              <w:t>Zysk brutto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CB9BB79" w14:textId="197B3E61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15 437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C59CD94" w14:textId="43A6484D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10 035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3C305838" w14:textId="2104130A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53,8%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531B0" w14:textId="2C2A9EF0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15 36</w:t>
            </w:r>
            <w:r w:rsidR="00EB33B8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3400282" w14:textId="60E798DD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10 011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14:paraId="39ACF956" w14:textId="21B5FA70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53,</w:t>
            </w:r>
            <w:r w:rsidR="009430ED"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EF3D17" w:rsidRPr="00754A5D" w14:paraId="350E261C" w14:textId="77777777" w:rsidTr="006D02D1">
        <w:trPr>
          <w:trHeight w:val="258"/>
        </w:trPr>
        <w:tc>
          <w:tcPr>
            <w:tcW w:w="2248" w:type="dxa"/>
            <w:shd w:val="clear" w:color="auto" w:fill="auto"/>
            <w:noWrap/>
            <w:vAlign w:val="center"/>
            <w:hideMark/>
          </w:tcPr>
          <w:p w14:paraId="09BFF9EF" w14:textId="77777777" w:rsidR="00F63430" w:rsidRPr="00CB72BD" w:rsidRDefault="00F6343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72BD">
              <w:rPr>
                <w:rFonts w:eastAsia="Times New Roman" w:cs="Calibri"/>
                <w:color w:val="000000"/>
                <w:lang w:eastAsia="pl-PL"/>
              </w:rPr>
              <w:t>Zysk netto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24E3F422" w14:textId="7A2021D2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12 </w:t>
            </w:r>
            <w:r w:rsidR="005F0516">
              <w:rPr>
                <w:rFonts w:asciiTheme="minorHAnsi" w:hAnsiTheme="minorHAnsi" w:cstheme="minorHAnsi"/>
                <w:bCs/>
                <w:sz w:val="20"/>
                <w:szCs w:val="20"/>
              </w:rPr>
              <w:t>141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8197991" w14:textId="2AC14FCF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4 362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645998E0" w14:textId="4B21DD63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1</w:t>
            </w:r>
            <w:r w:rsidR="005F0516">
              <w:rPr>
                <w:rFonts w:cs="Calibri"/>
                <w:color w:val="000000"/>
                <w:sz w:val="20"/>
                <w:szCs w:val="20"/>
              </w:rPr>
              <w:t>78,3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4AA41D" w14:textId="6D36FD39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 </w:t>
            </w:r>
            <w:r w:rsidR="00EB33B8"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686C51A" w14:textId="1F15AB82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asciiTheme="minorHAnsi" w:hAnsiTheme="minorHAnsi" w:cstheme="minorHAnsi"/>
                <w:bCs/>
                <w:sz w:val="20"/>
                <w:szCs w:val="20"/>
              </w:rPr>
              <w:t>4 265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14:paraId="6B4444BE" w14:textId="3D9A643E" w:rsidR="00F63430" w:rsidRPr="002707B0" w:rsidRDefault="00F63430" w:rsidP="006D02D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07B0">
              <w:rPr>
                <w:rFonts w:cs="Calibri"/>
                <w:color w:val="000000"/>
                <w:sz w:val="20"/>
                <w:szCs w:val="20"/>
              </w:rPr>
              <w:t>17</w:t>
            </w:r>
            <w:r w:rsidR="00EB33B8"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,</w:t>
            </w:r>
            <w:r w:rsidR="00EB33B8"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2707B0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72FF0717" w14:textId="77777777" w:rsidR="00B866BD" w:rsidRDefault="00B866BD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7E08BEC5" w14:textId="0EF94EA0" w:rsidR="00217D8A" w:rsidRDefault="00032E4E" w:rsidP="00B866BD">
      <w:pPr>
        <w:spacing w:after="0"/>
        <w:jc w:val="both"/>
        <w:rPr>
          <w:rFonts w:asciiTheme="minorHAnsi" w:hAnsiTheme="minorHAnsi" w:cs="Arial"/>
          <w:bCs/>
        </w:rPr>
      </w:pPr>
      <w:r>
        <w:t>Grupa w 2021 roku zanotowała dodatnie przepływy pieniężne z działaln</w:t>
      </w:r>
      <w:r w:rsidR="00217D8A">
        <w:t xml:space="preserve">ości operacyjnej na poziomie </w:t>
      </w:r>
      <w:r>
        <w:t xml:space="preserve"> </w:t>
      </w:r>
      <w:r w:rsidR="00217D8A">
        <w:t>109,8 mln zł wobec 16,3 mln zł rok wcześniej.</w:t>
      </w:r>
      <w:r w:rsidR="00217D8A">
        <w:rPr>
          <w:rFonts w:asciiTheme="minorHAnsi" w:hAnsiTheme="minorHAnsi" w:cs="Arial"/>
          <w:bCs/>
        </w:rPr>
        <w:t xml:space="preserve"> N</w:t>
      </w:r>
      <w:r w:rsidR="007871C3">
        <w:rPr>
          <w:rFonts w:asciiTheme="minorHAnsi" w:hAnsiTheme="minorHAnsi" w:cs="Arial"/>
          <w:bCs/>
        </w:rPr>
        <w:t>a koniec 2021 roku posiadała środki pieniężne w kwocie 108,7 mln zł</w:t>
      </w:r>
      <w:r>
        <w:rPr>
          <w:rFonts w:asciiTheme="minorHAnsi" w:hAnsiTheme="minorHAnsi" w:cs="Arial"/>
          <w:bCs/>
        </w:rPr>
        <w:t xml:space="preserve"> (na koniec 2020 roku 23,5 mln zł). </w:t>
      </w:r>
    </w:p>
    <w:p w14:paraId="0D4A0F38" w14:textId="77777777" w:rsidR="00115801" w:rsidRDefault="00115801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15187FA8" w14:textId="3AECEEC8" w:rsidR="007871C3" w:rsidRDefault="00217D8A" w:rsidP="00B866BD">
      <w:pPr>
        <w:spacing w:after="0"/>
        <w:jc w:val="both"/>
        <w:rPr>
          <w:rFonts w:asciiTheme="minorHAnsi" w:hAnsiTheme="minorHAnsi" w:cs="Arial"/>
          <w:bCs/>
        </w:rPr>
      </w:pPr>
      <w:r>
        <w:t>Wysoki stan środków pieniężnych utrzymywany po okresie sprawozdawczym pozwala w obecnej, niestabilnej sytuacji rynkowej związanej z wojną w Ukrainie na lepsze zabezpieczenie zakupu materiałów poprzez uprzednie finansowanie.</w:t>
      </w:r>
    </w:p>
    <w:p w14:paraId="4AAD0A9F" w14:textId="77777777" w:rsidR="00B866BD" w:rsidRDefault="00B866BD" w:rsidP="00B866BD">
      <w:pPr>
        <w:spacing w:after="0"/>
        <w:jc w:val="both"/>
        <w:rPr>
          <w:rFonts w:asciiTheme="minorHAnsi" w:hAnsiTheme="minorHAnsi" w:cs="Arial"/>
          <w:bCs/>
        </w:rPr>
      </w:pPr>
    </w:p>
    <w:p w14:paraId="106F2AE6" w14:textId="6B7D476E" w:rsidR="00785084" w:rsidRDefault="00785084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1D3B03">
        <w:rPr>
          <w:rFonts w:asciiTheme="minorHAnsi" w:hAnsiTheme="minorHAnsi" w:cs="Arial"/>
          <w:b/>
          <w:bCs/>
          <w:szCs w:val="24"/>
        </w:rPr>
        <w:t>KOMENTARZ DOTYCZĄCY SYTUACJI RYNKOWEJ</w:t>
      </w:r>
    </w:p>
    <w:p w14:paraId="402A46B7" w14:textId="77777777" w:rsidR="00B866BD" w:rsidRDefault="00B866BD" w:rsidP="00B866BD">
      <w:pPr>
        <w:spacing w:after="0"/>
        <w:jc w:val="both"/>
        <w:rPr>
          <w:rFonts w:asciiTheme="minorHAnsi" w:hAnsiTheme="minorHAnsi" w:cs="Arial"/>
          <w:bCs/>
          <w:highlight w:val="yellow"/>
        </w:rPr>
      </w:pPr>
    </w:p>
    <w:p w14:paraId="384E57BC" w14:textId="1243A972" w:rsidR="00785084" w:rsidRPr="00CB715E" w:rsidRDefault="00785084" w:rsidP="00B866BD">
      <w:pPr>
        <w:spacing w:after="0"/>
        <w:jc w:val="both"/>
        <w:rPr>
          <w:rFonts w:asciiTheme="minorHAnsi" w:hAnsiTheme="minorHAnsi" w:cs="Arial"/>
          <w:i/>
        </w:rPr>
      </w:pPr>
      <w:r w:rsidRPr="00D1240E">
        <w:rPr>
          <w:rFonts w:asciiTheme="minorHAnsi" w:hAnsiTheme="minorHAnsi" w:cs="Arial"/>
          <w:i/>
        </w:rPr>
        <w:t xml:space="preserve">W 2021 roku działalność operacyjna </w:t>
      </w:r>
      <w:r>
        <w:rPr>
          <w:rFonts w:asciiTheme="minorHAnsi" w:hAnsiTheme="minorHAnsi" w:cs="Arial"/>
          <w:i/>
        </w:rPr>
        <w:t>ZUE</w:t>
      </w:r>
      <w:r w:rsidRPr="00D1240E">
        <w:rPr>
          <w:rFonts w:asciiTheme="minorHAnsi" w:hAnsiTheme="minorHAnsi" w:cs="Arial"/>
          <w:i/>
        </w:rPr>
        <w:t xml:space="preserve"> skupiała się na dwóch głównych rynkach – kolejowym i </w:t>
      </w:r>
      <w:r w:rsidR="0005416F">
        <w:rPr>
          <w:rFonts w:asciiTheme="minorHAnsi" w:hAnsiTheme="minorHAnsi" w:cs="Arial"/>
          <w:i/>
        </w:rPr>
        <w:t> </w:t>
      </w:r>
      <w:r w:rsidRPr="00D1240E">
        <w:rPr>
          <w:rFonts w:asciiTheme="minorHAnsi" w:hAnsiTheme="minorHAnsi" w:cs="Arial"/>
          <w:i/>
        </w:rPr>
        <w:t xml:space="preserve">tramwajowym. Na rynku kolejowym </w:t>
      </w:r>
      <w:r>
        <w:rPr>
          <w:rFonts w:asciiTheme="minorHAnsi" w:hAnsiTheme="minorHAnsi" w:cs="Arial"/>
          <w:i/>
        </w:rPr>
        <w:t>jesteśmy</w:t>
      </w:r>
      <w:r w:rsidRPr="00D1240E">
        <w:rPr>
          <w:rFonts w:asciiTheme="minorHAnsi" w:hAnsiTheme="minorHAnsi" w:cs="Arial"/>
          <w:i/>
        </w:rPr>
        <w:t xml:space="preserve"> jednym z największych wykonawców. Nadal </w:t>
      </w:r>
      <w:r w:rsidR="002707B0">
        <w:rPr>
          <w:rFonts w:asciiTheme="minorHAnsi" w:hAnsiTheme="minorHAnsi" w:cs="Arial"/>
          <w:i/>
        </w:rPr>
        <w:t>realizujemy</w:t>
      </w:r>
      <w:r w:rsidRPr="00D1240E">
        <w:rPr>
          <w:rFonts w:asciiTheme="minorHAnsi" w:hAnsiTheme="minorHAnsi" w:cs="Arial"/>
          <w:i/>
        </w:rPr>
        <w:t xml:space="preserve"> kontrakty pozyskane w latach 2016-2017, </w:t>
      </w:r>
      <w:r w:rsidR="00073E48">
        <w:rPr>
          <w:rFonts w:asciiTheme="minorHAnsi" w:hAnsiTheme="minorHAnsi" w:cs="Arial"/>
          <w:i/>
        </w:rPr>
        <w:t>większość</w:t>
      </w:r>
      <w:r w:rsidRPr="00D1240E">
        <w:rPr>
          <w:rFonts w:asciiTheme="minorHAnsi" w:hAnsiTheme="minorHAnsi" w:cs="Arial"/>
          <w:i/>
        </w:rPr>
        <w:t xml:space="preserve"> z nich </w:t>
      </w:r>
      <w:r w:rsidR="002707B0">
        <w:rPr>
          <w:rFonts w:asciiTheme="minorHAnsi" w:hAnsiTheme="minorHAnsi" w:cs="Arial"/>
          <w:i/>
        </w:rPr>
        <w:t xml:space="preserve">zakończymy w bieżącym roku. </w:t>
      </w:r>
      <w:r>
        <w:rPr>
          <w:rFonts w:asciiTheme="minorHAnsi" w:hAnsiTheme="minorHAnsi" w:cs="Arial"/>
          <w:i/>
        </w:rPr>
        <w:t>Tym samym, mniej rentowne kontrakty znikają z naszego portfela.</w:t>
      </w:r>
      <w:r w:rsidRPr="00D1240E">
        <w:rPr>
          <w:rFonts w:asciiTheme="minorHAnsi" w:hAnsiTheme="minorHAnsi" w:cs="Arial"/>
          <w:i/>
        </w:rPr>
        <w:t xml:space="preserve"> </w:t>
      </w:r>
      <w:bookmarkStart w:id="4" w:name="_Hlk95944733"/>
      <w:r w:rsidRPr="00D1240E">
        <w:rPr>
          <w:rFonts w:asciiTheme="minorHAnsi" w:hAnsiTheme="minorHAnsi" w:cs="Arial"/>
          <w:i/>
        </w:rPr>
        <w:t xml:space="preserve">W </w:t>
      </w:r>
      <w:r w:rsidR="002707B0">
        <w:rPr>
          <w:rFonts w:asciiTheme="minorHAnsi" w:hAnsiTheme="minorHAnsi" w:cs="Arial"/>
          <w:i/>
        </w:rPr>
        <w:t>ubiegłym</w:t>
      </w:r>
      <w:r w:rsidRPr="00D1240E">
        <w:rPr>
          <w:rFonts w:asciiTheme="minorHAnsi" w:hAnsiTheme="minorHAnsi" w:cs="Arial"/>
          <w:i/>
        </w:rPr>
        <w:t xml:space="preserve"> roku, </w:t>
      </w:r>
      <w:r w:rsidR="002707B0">
        <w:rPr>
          <w:rFonts w:asciiTheme="minorHAnsi" w:hAnsiTheme="minorHAnsi" w:cs="Arial"/>
          <w:i/>
        </w:rPr>
        <w:t xml:space="preserve">w którym miało nastąpić płynne </w:t>
      </w:r>
      <w:r w:rsidRPr="00D1240E">
        <w:rPr>
          <w:rFonts w:asciiTheme="minorHAnsi" w:hAnsiTheme="minorHAnsi" w:cs="Arial"/>
          <w:i/>
        </w:rPr>
        <w:t>przejści</w:t>
      </w:r>
      <w:r w:rsidR="002707B0">
        <w:rPr>
          <w:rFonts w:asciiTheme="minorHAnsi" w:hAnsiTheme="minorHAnsi" w:cs="Arial"/>
          <w:i/>
        </w:rPr>
        <w:t>e</w:t>
      </w:r>
      <w:r w:rsidRPr="00D1240E">
        <w:rPr>
          <w:rFonts w:asciiTheme="minorHAnsi" w:hAnsiTheme="minorHAnsi" w:cs="Arial"/>
          <w:i/>
        </w:rPr>
        <w:t xml:space="preserve"> pomiędzy perspektywami unijnymi, </w:t>
      </w:r>
      <w:r w:rsidR="002707B0">
        <w:rPr>
          <w:rFonts w:asciiTheme="minorHAnsi" w:hAnsiTheme="minorHAnsi" w:cs="Arial"/>
          <w:i/>
        </w:rPr>
        <w:t xml:space="preserve">spodziewane było </w:t>
      </w:r>
      <w:r w:rsidRPr="00D1240E">
        <w:rPr>
          <w:rFonts w:asciiTheme="minorHAnsi" w:hAnsiTheme="minorHAnsi" w:cs="Arial"/>
          <w:i/>
        </w:rPr>
        <w:t>ogłoszeni</w:t>
      </w:r>
      <w:r w:rsidR="002707B0">
        <w:rPr>
          <w:rFonts w:asciiTheme="minorHAnsi" w:hAnsiTheme="minorHAnsi" w:cs="Arial"/>
          <w:i/>
        </w:rPr>
        <w:t>e</w:t>
      </w:r>
      <w:r w:rsidRPr="00D1240E">
        <w:rPr>
          <w:rFonts w:asciiTheme="minorHAnsi" w:hAnsiTheme="minorHAnsi" w:cs="Arial"/>
          <w:i/>
        </w:rPr>
        <w:t xml:space="preserve"> przetargów kolejowych za kilkanaście miliardów złotych</w:t>
      </w:r>
      <w:r>
        <w:rPr>
          <w:rFonts w:asciiTheme="minorHAnsi" w:hAnsiTheme="minorHAnsi" w:cs="Arial"/>
          <w:i/>
        </w:rPr>
        <w:t>.</w:t>
      </w:r>
      <w:r w:rsidRPr="00D1240E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>O</w:t>
      </w:r>
      <w:r w:rsidRPr="00D1240E">
        <w:rPr>
          <w:rFonts w:asciiTheme="minorHAnsi" w:hAnsiTheme="minorHAnsi" w:cs="Arial"/>
          <w:i/>
        </w:rPr>
        <w:t xml:space="preserve">statecznie zostały ogłoszone przetargi łącznie za kilka miliardów. </w:t>
      </w:r>
      <w:r w:rsidR="002707B0">
        <w:rPr>
          <w:rFonts w:asciiTheme="minorHAnsi" w:hAnsiTheme="minorHAnsi" w:cs="Arial"/>
          <w:i/>
        </w:rPr>
        <w:t>Oznacza to, że</w:t>
      </w:r>
      <w:r w:rsidRPr="00D1240E">
        <w:rPr>
          <w:rFonts w:asciiTheme="minorHAnsi" w:hAnsiTheme="minorHAnsi" w:cs="Arial"/>
          <w:i/>
        </w:rPr>
        <w:t xml:space="preserve"> po ubiegłym roku mamy do czynienia z luką inwestycyjną i wzmożoną rywalizacją wykonawców o nowe zlecenia. Jest to efekt braku porozumienia w zakresie finansowania planowanych inwestycji z UE</w:t>
      </w:r>
      <w:r>
        <w:rPr>
          <w:rFonts w:asciiTheme="minorHAnsi" w:hAnsiTheme="minorHAnsi" w:cs="Arial"/>
          <w:i/>
        </w:rPr>
        <w:t xml:space="preserve">. </w:t>
      </w:r>
      <w:r w:rsidRPr="00D1240E">
        <w:rPr>
          <w:rFonts w:asciiTheme="minorHAnsi" w:hAnsiTheme="minorHAnsi" w:cs="Arial"/>
          <w:i/>
        </w:rPr>
        <w:t xml:space="preserve">PKP PLK zapowiada od 2022 roku ogłaszanie nowych przetargów za kilkanaście </w:t>
      </w:r>
      <w:r w:rsidR="002707B0">
        <w:rPr>
          <w:rFonts w:asciiTheme="minorHAnsi" w:hAnsiTheme="minorHAnsi" w:cs="Arial"/>
          <w:i/>
        </w:rPr>
        <w:t>miliardów złotych</w:t>
      </w:r>
      <w:r w:rsidRPr="00D1240E">
        <w:rPr>
          <w:rFonts w:asciiTheme="minorHAnsi" w:hAnsiTheme="minorHAnsi" w:cs="Arial"/>
          <w:i/>
        </w:rPr>
        <w:t xml:space="preserve"> rocznie, co powinno przełożyć się na stabilizację rynku</w:t>
      </w:r>
      <w:r w:rsidR="00843D84">
        <w:rPr>
          <w:rFonts w:asciiTheme="minorHAnsi" w:hAnsiTheme="minorHAnsi" w:cs="Arial"/>
          <w:i/>
        </w:rPr>
        <w:t xml:space="preserve">. </w:t>
      </w:r>
      <w:r w:rsidR="008A65F6">
        <w:rPr>
          <w:rFonts w:asciiTheme="minorHAnsi" w:hAnsiTheme="minorHAnsi" w:cs="Arial"/>
          <w:i/>
        </w:rPr>
        <w:t>Na rynku widać p</w:t>
      </w:r>
      <w:r w:rsidR="00843D84">
        <w:rPr>
          <w:rFonts w:asciiTheme="minorHAnsi" w:hAnsiTheme="minorHAnsi" w:cs="Arial"/>
          <w:i/>
        </w:rPr>
        <w:t>ierwsze symptomy poprawy sytuacji</w:t>
      </w:r>
      <w:r w:rsidR="008A65F6">
        <w:rPr>
          <w:rFonts w:asciiTheme="minorHAnsi" w:hAnsiTheme="minorHAnsi" w:cs="Arial"/>
          <w:i/>
        </w:rPr>
        <w:t>.</w:t>
      </w:r>
      <w:r w:rsidR="00843D84">
        <w:rPr>
          <w:rFonts w:asciiTheme="minorHAnsi" w:hAnsiTheme="minorHAnsi" w:cs="Arial"/>
          <w:i/>
        </w:rPr>
        <w:t xml:space="preserve"> PKP PLK ogłosiła w tym roku już 9 przetargów na łączną kwotę ok. 10,6 mld zł</w:t>
      </w:r>
      <w:r w:rsidR="00B866BD">
        <w:rPr>
          <w:rFonts w:asciiTheme="minorHAnsi" w:hAnsiTheme="minorHAnsi" w:cs="Arial"/>
          <w:i/>
        </w:rPr>
        <w:t xml:space="preserve">.  </w:t>
      </w:r>
      <w:r>
        <w:rPr>
          <w:rFonts w:asciiTheme="minorHAnsi" w:hAnsiTheme="minorHAnsi" w:cs="Arial"/>
          <w:i/>
        </w:rPr>
        <w:t xml:space="preserve"> </w:t>
      </w:r>
      <w:bookmarkEnd w:id="4"/>
      <w:r w:rsidR="00B866BD" w:rsidRPr="00D1240E">
        <w:rPr>
          <w:rFonts w:asciiTheme="minorHAnsi" w:hAnsiTheme="minorHAnsi" w:cs="Arial"/>
          <w:i/>
        </w:rPr>
        <w:t>Przewidując skomplikowaną sytuację na kolejowym rynku zleceń, w 2021 roku by</w:t>
      </w:r>
      <w:r w:rsidR="00B866BD">
        <w:rPr>
          <w:rFonts w:asciiTheme="minorHAnsi" w:hAnsiTheme="minorHAnsi" w:cs="Arial"/>
          <w:i/>
        </w:rPr>
        <w:t>liśmy bardziej</w:t>
      </w:r>
      <w:r w:rsidR="00B866BD" w:rsidRPr="00D1240E">
        <w:rPr>
          <w:rFonts w:asciiTheme="minorHAnsi" w:hAnsiTheme="minorHAnsi" w:cs="Arial"/>
          <w:i/>
        </w:rPr>
        <w:t xml:space="preserve"> aktywn</w:t>
      </w:r>
      <w:r w:rsidR="00B866BD">
        <w:rPr>
          <w:rFonts w:asciiTheme="minorHAnsi" w:hAnsiTheme="minorHAnsi" w:cs="Arial"/>
          <w:i/>
        </w:rPr>
        <w:t>i</w:t>
      </w:r>
      <w:r w:rsidR="00B866BD" w:rsidRPr="00D1240E">
        <w:rPr>
          <w:rFonts w:asciiTheme="minorHAnsi" w:hAnsiTheme="minorHAnsi" w:cs="Arial"/>
          <w:i/>
        </w:rPr>
        <w:t xml:space="preserve"> w pozyskiwaniu inwestycji na rynku tramwajowym. Rynek ten w poprzednim roku obfitował w przetargi, co przełożyło się dla ZUE na pozyskanie </w:t>
      </w:r>
      <w:r w:rsidR="00B866BD">
        <w:rPr>
          <w:rFonts w:asciiTheme="minorHAnsi" w:hAnsiTheme="minorHAnsi" w:cs="Arial"/>
          <w:i/>
        </w:rPr>
        <w:t xml:space="preserve">sześciu </w:t>
      </w:r>
      <w:r w:rsidR="00B866BD" w:rsidRPr="00D1240E">
        <w:rPr>
          <w:rFonts w:asciiTheme="minorHAnsi" w:hAnsiTheme="minorHAnsi" w:cs="Arial"/>
          <w:i/>
        </w:rPr>
        <w:t xml:space="preserve">kontraktów o łącznej wartości ok. 634 mln zł. W większości są </w:t>
      </w:r>
      <w:r w:rsidR="00B866BD">
        <w:rPr>
          <w:rFonts w:asciiTheme="minorHAnsi" w:hAnsiTheme="minorHAnsi" w:cs="Arial"/>
          <w:i/>
        </w:rPr>
        <w:t>t</w:t>
      </w:r>
      <w:r w:rsidR="00B866BD" w:rsidRPr="00D1240E">
        <w:rPr>
          <w:rFonts w:asciiTheme="minorHAnsi" w:hAnsiTheme="minorHAnsi" w:cs="Arial"/>
          <w:i/>
        </w:rPr>
        <w:t xml:space="preserve">o kontrakty typu „buduj”, gdzie można po zawarciu umowy płynnie </w:t>
      </w:r>
      <w:r w:rsidR="00B866BD" w:rsidRPr="00D1240E">
        <w:rPr>
          <w:rFonts w:asciiTheme="minorHAnsi" w:hAnsiTheme="minorHAnsi" w:cs="Arial"/>
          <w:i/>
        </w:rPr>
        <w:lastRenderedPageBreak/>
        <w:t>przejść do realizacji prac budowlanych. Perspektywy na rynku tramwajowym są również interesujące</w:t>
      </w:r>
      <w:r w:rsidR="00B866BD">
        <w:rPr>
          <w:rFonts w:asciiTheme="minorHAnsi" w:hAnsiTheme="minorHAnsi" w:cs="Arial"/>
          <w:i/>
        </w:rPr>
        <w:t>. Rynek nadal jest bogaty w zlecenia. Dalej składamy oferty. Chcemy przekuć nasze wieloletnie doświadczenie na rynku tramwajowym w wartość dla firmy. Rynek ten w najbliższej przyszłości podobnie jak kolej będzie jednym z czołowych frontów w walce ze zmianami klimatycznym</w:t>
      </w:r>
      <w:r w:rsidR="003139F4">
        <w:rPr>
          <w:rFonts w:asciiTheme="minorHAnsi" w:hAnsiTheme="minorHAnsi" w:cs="Arial"/>
          <w:i/>
        </w:rPr>
        <w:t xml:space="preserve">. </w:t>
      </w:r>
      <w:r w:rsidR="00B866BD">
        <w:rPr>
          <w:rFonts w:asciiTheme="minorHAnsi" w:hAnsiTheme="minorHAnsi" w:cs="Arial"/>
          <w:i/>
        </w:rPr>
        <w:t xml:space="preserve"> </w:t>
      </w:r>
      <w:r w:rsidR="003139F4" w:rsidRPr="007E429B">
        <w:rPr>
          <w:rFonts w:asciiTheme="minorHAnsi" w:hAnsiTheme="minorHAnsi" w:cs="Arial"/>
          <w:i/>
        </w:rPr>
        <w:t xml:space="preserve">Jednocześnie publikujemy nasze wyniki w momencie zawirowań geopolitycznych związanych z </w:t>
      </w:r>
      <w:r w:rsidR="003139F4">
        <w:rPr>
          <w:rFonts w:asciiTheme="minorHAnsi" w:hAnsiTheme="minorHAnsi" w:cs="Arial"/>
          <w:i/>
        </w:rPr>
        <w:t> </w:t>
      </w:r>
      <w:r w:rsidR="003139F4" w:rsidRPr="007E429B">
        <w:rPr>
          <w:rFonts w:asciiTheme="minorHAnsi" w:hAnsiTheme="minorHAnsi" w:cs="Arial"/>
          <w:i/>
        </w:rPr>
        <w:t xml:space="preserve">rozpoczęciem </w:t>
      </w:r>
      <w:r w:rsidR="003139F4">
        <w:rPr>
          <w:rFonts w:asciiTheme="minorHAnsi" w:hAnsiTheme="minorHAnsi" w:cs="Arial"/>
          <w:i/>
        </w:rPr>
        <w:t>wojny w Ukrainie</w:t>
      </w:r>
      <w:r w:rsidR="003139F4" w:rsidRPr="007E429B">
        <w:rPr>
          <w:rFonts w:asciiTheme="minorHAnsi" w:hAnsiTheme="minorHAnsi" w:cs="Arial"/>
          <w:i/>
        </w:rPr>
        <w:t xml:space="preserve">. Z uwagą analizujemy możliwe związane z </w:t>
      </w:r>
      <w:r w:rsidR="003139F4">
        <w:rPr>
          <w:rFonts w:asciiTheme="minorHAnsi" w:hAnsiTheme="minorHAnsi" w:cs="Arial"/>
          <w:i/>
        </w:rPr>
        <w:t> </w:t>
      </w:r>
      <w:r w:rsidR="003139F4" w:rsidRPr="007E429B">
        <w:rPr>
          <w:rFonts w:asciiTheme="minorHAnsi" w:hAnsiTheme="minorHAnsi" w:cs="Arial"/>
          <w:i/>
        </w:rPr>
        <w:t xml:space="preserve">tym wyzwania i ryzyka dla gospodarki. Wierzę, że nasza stabilna sytuacja finansowa i wieloletnie doświadczenie pozwolą nam w odpowiedni sposób poradzić sobie w obliczu widocznej zmienności </w:t>
      </w:r>
      <w:r w:rsidR="003139F4">
        <w:rPr>
          <w:rFonts w:asciiTheme="minorHAnsi" w:hAnsiTheme="minorHAnsi" w:cs="Arial"/>
          <w:i/>
        </w:rPr>
        <w:t xml:space="preserve">i nowych </w:t>
      </w:r>
      <w:proofErr w:type="spellStart"/>
      <w:r w:rsidR="003139F4">
        <w:rPr>
          <w:rFonts w:asciiTheme="minorHAnsi" w:hAnsiTheme="minorHAnsi" w:cs="Arial"/>
          <w:i/>
        </w:rPr>
        <w:t>ryzyk</w:t>
      </w:r>
      <w:proofErr w:type="spellEnd"/>
      <w:r w:rsidR="003139F4">
        <w:rPr>
          <w:rFonts w:asciiTheme="minorHAnsi" w:hAnsiTheme="minorHAnsi" w:cs="Arial"/>
          <w:i/>
        </w:rPr>
        <w:t xml:space="preserve">  w otoczeniu gospodarczym</w:t>
      </w:r>
      <w:r w:rsidR="006A50D9">
        <w:rPr>
          <w:rFonts w:asciiTheme="minorHAnsi" w:hAnsiTheme="minorHAnsi" w:cs="Arial"/>
          <w:i/>
        </w:rPr>
        <w:t xml:space="preserve"> </w:t>
      </w:r>
      <w:bookmarkStart w:id="5" w:name="_GoBack"/>
      <w:bookmarkEnd w:id="5"/>
      <w:r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  <w:i/>
        </w:rPr>
        <w:t xml:space="preserve"> </w:t>
      </w:r>
      <w:r w:rsidRPr="002707B0">
        <w:rPr>
          <w:rFonts w:asciiTheme="minorHAnsi" w:hAnsiTheme="minorHAnsi" w:cs="Arial"/>
          <w:b/>
          <w:bCs/>
        </w:rPr>
        <w:t>podkreśla</w:t>
      </w:r>
      <w:r>
        <w:rPr>
          <w:rFonts w:asciiTheme="minorHAnsi" w:hAnsiTheme="minorHAnsi" w:cs="Arial"/>
          <w:b/>
        </w:rPr>
        <w:t xml:space="preserve"> </w:t>
      </w:r>
      <w:r w:rsidRPr="00654727">
        <w:rPr>
          <w:rFonts w:asciiTheme="minorHAnsi" w:hAnsiTheme="minorHAnsi" w:cs="Arial"/>
          <w:b/>
          <w:bCs/>
        </w:rPr>
        <w:t>Wiesław Nowak</w:t>
      </w:r>
      <w:r>
        <w:rPr>
          <w:rFonts w:asciiTheme="minorHAnsi" w:hAnsiTheme="minorHAnsi" w:cs="Arial"/>
          <w:b/>
          <w:bCs/>
        </w:rPr>
        <w:t>.</w:t>
      </w:r>
    </w:p>
    <w:p w14:paraId="3088AC3A" w14:textId="77777777" w:rsidR="00785084" w:rsidRDefault="00785084" w:rsidP="00785084">
      <w:pPr>
        <w:spacing w:after="0"/>
        <w:jc w:val="both"/>
        <w:rPr>
          <w:rFonts w:asciiTheme="minorHAnsi" w:hAnsiTheme="minorHAnsi" w:cs="Arial"/>
          <w:i/>
        </w:rPr>
      </w:pPr>
    </w:p>
    <w:p w14:paraId="24F011B3" w14:textId="4D13E306" w:rsidR="00785084" w:rsidRPr="00CE0C5B" w:rsidRDefault="00F32FF3" w:rsidP="007E429B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Jednocześnie nie</w:t>
      </w:r>
      <w:r w:rsidR="00AF35C0">
        <w:rPr>
          <w:rFonts w:asciiTheme="minorHAnsi" w:hAnsiTheme="minorHAnsi" w:cs="Arial"/>
          <w:i/>
        </w:rPr>
        <w:t xml:space="preserve"> jesteśmy biern</w:t>
      </w:r>
      <w:r>
        <w:rPr>
          <w:rFonts w:asciiTheme="minorHAnsi" w:hAnsiTheme="minorHAnsi" w:cs="Arial"/>
          <w:i/>
        </w:rPr>
        <w:t xml:space="preserve">i wobec sytuacji humanitarnej </w:t>
      </w:r>
      <w:r w:rsidR="001D38C6">
        <w:rPr>
          <w:rFonts w:asciiTheme="minorHAnsi" w:hAnsiTheme="minorHAnsi" w:cs="Arial"/>
          <w:i/>
        </w:rPr>
        <w:t>na</w:t>
      </w:r>
      <w:r>
        <w:rPr>
          <w:rFonts w:asciiTheme="minorHAnsi" w:hAnsiTheme="minorHAnsi" w:cs="Arial"/>
          <w:i/>
        </w:rPr>
        <w:t xml:space="preserve"> wschodni</w:t>
      </w:r>
      <w:r w:rsidR="001D38C6">
        <w:rPr>
          <w:rFonts w:asciiTheme="minorHAnsi" w:hAnsiTheme="minorHAnsi" w:cs="Arial"/>
          <w:i/>
        </w:rPr>
        <w:t>ej</w:t>
      </w:r>
      <w:r>
        <w:rPr>
          <w:rFonts w:asciiTheme="minorHAnsi" w:hAnsiTheme="minorHAnsi" w:cs="Arial"/>
          <w:i/>
        </w:rPr>
        <w:t xml:space="preserve"> granic</w:t>
      </w:r>
      <w:r w:rsidR="001D38C6">
        <w:rPr>
          <w:rFonts w:asciiTheme="minorHAnsi" w:hAnsiTheme="minorHAnsi" w:cs="Arial"/>
          <w:i/>
        </w:rPr>
        <w:t>y</w:t>
      </w:r>
      <w:r w:rsidR="00AF35C0">
        <w:rPr>
          <w:rFonts w:asciiTheme="minorHAnsi" w:hAnsiTheme="minorHAnsi" w:cs="Arial"/>
          <w:i/>
        </w:rPr>
        <w:t>. Angażujemy się</w:t>
      </w:r>
      <w:r w:rsidR="007A10E0">
        <w:rPr>
          <w:rFonts w:asciiTheme="minorHAnsi" w:hAnsiTheme="minorHAnsi" w:cs="Arial"/>
          <w:i/>
        </w:rPr>
        <w:t xml:space="preserve"> w różne formy</w:t>
      </w:r>
      <w:r w:rsidR="00F32A2F">
        <w:rPr>
          <w:rFonts w:asciiTheme="minorHAnsi" w:hAnsiTheme="minorHAnsi" w:cs="Arial"/>
          <w:i/>
        </w:rPr>
        <w:t xml:space="preserve"> pomocy. Mamy w swoich </w:t>
      </w:r>
      <w:r w:rsidR="00F32A2F" w:rsidRPr="00115801">
        <w:rPr>
          <w:rFonts w:asciiTheme="minorHAnsi" w:hAnsiTheme="minorHAnsi" w:cs="Arial"/>
          <w:i/>
        </w:rPr>
        <w:t xml:space="preserve">szeregach </w:t>
      </w:r>
      <w:r w:rsidR="00331251" w:rsidRPr="00115801">
        <w:rPr>
          <w:rFonts w:asciiTheme="minorHAnsi" w:hAnsiTheme="minorHAnsi" w:cs="Arial"/>
          <w:i/>
        </w:rPr>
        <w:t>3</w:t>
      </w:r>
      <w:r w:rsidR="00FD4319" w:rsidRPr="00115801">
        <w:rPr>
          <w:rFonts w:asciiTheme="minorHAnsi" w:hAnsiTheme="minorHAnsi" w:cs="Arial"/>
          <w:i/>
        </w:rPr>
        <w:t>4</w:t>
      </w:r>
      <w:r w:rsidR="00331251" w:rsidRPr="00115801">
        <w:rPr>
          <w:rFonts w:asciiTheme="minorHAnsi" w:hAnsiTheme="minorHAnsi" w:cs="Arial"/>
          <w:i/>
        </w:rPr>
        <w:t xml:space="preserve"> </w:t>
      </w:r>
      <w:r w:rsidR="00F32A2F" w:rsidRPr="00115801">
        <w:rPr>
          <w:rFonts w:asciiTheme="minorHAnsi" w:hAnsiTheme="minorHAnsi" w:cs="Arial"/>
          <w:i/>
        </w:rPr>
        <w:t>pr</w:t>
      </w:r>
      <w:r w:rsidR="00F32A2F">
        <w:rPr>
          <w:rFonts w:asciiTheme="minorHAnsi" w:hAnsiTheme="minorHAnsi" w:cs="Arial"/>
          <w:i/>
        </w:rPr>
        <w:t xml:space="preserve">acowników z Ukrainy. </w:t>
      </w:r>
      <w:r w:rsidR="00FB28BF">
        <w:rPr>
          <w:rFonts w:asciiTheme="minorHAnsi" w:hAnsiTheme="minorHAnsi" w:cs="Arial"/>
          <w:i/>
        </w:rPr>
        <w:t>Zaoferowaliś</w:t>
      </w:r>
      <w:r w:rsidR="00717D5F">
        <w:rPr>
          <w:rFonts w:asciiTheme="minorHAnsi" w:hAnsiTheme="minorHAnsi" w:cs="Arial"/>
          <w:i/>
        </w:rPr>
        <w:t>my im</w:t>
      </w:r>
      <w:r w:rsidR="00FB28BF">
        <w:rPr>
          <w:rFonts w:asciiTheme="minorHAnsi" w:hAnsiTheme="minorHAnsi" w:cs="Arial"/>
          <w:i/>
        </w:rPr>
        <w:t xml:space="preserve"> pomoc logistyczną przy przerzuceniu</w:t>
      </w:r>
      <w:r w:rsidR="00B004B0">
        <w:rPr>
          <w:rFonts w:asciiTheme="minorHAnsi" w:hAnsiTheme="minorHAnsi" w:cs="Arial"/>
          <w:i/>
        </w:rPr>
        <w:t xml:space="preserve"> i zakwaterowaniu</w:t>
      </w:r>
      <w:r w:rsidR="00FB28BF">
        <w:rPr>
          <w:rFonts w:asciiTheme="minorHAnsi" w:hAnsiTheme="minorHAnsi" w:cs="Arial"/>
          <w:i/>
        </w:rPr>
        <w:t xml:space="preserve"> ich rodzin </w:t>
      </w:r>
      <w:r w:rsidR="00B004B0">
        <w:rPr>
          <w:rFonts w:asciiTheme="minorHAnsi" w:hAnsiTheme="minorHAnsi" w:cs="Arial"/>
          <w:i/>
        </w:rPr>
        <w:t xml:space="preserve">w Polsce </w:t>
      </w:r>
      <w:r w:rsidR="00FB28BF">
        <w:rPr>
          <w:rFonts w:asciiTheme="minorHAnsi" w:hAnsiTheme="minorHAnsi" w:cs="Arial"/>
          <w:i/>
        </w:rPr>
        <w:t>oraz pełne zrozumienie</w:t>
      </w:r>
      <w:r w:rsidR="00AB058B">
        <w:rPr>
          <w:rFonts w:asciiTheme="minorHAnsi" w:hAnsiTheme="minorHAnsi" w:cs="Arial"/>
          <w:i/>
        </w:rPr>
        <w:t>,</w:t>
      </w:r>
      <w:r w:rsidR="00FB28BF">
        <w:rPr>
          <w:rFonts w:asciiTheme="minorHAnsi" w:hAnsiTheme="minorHAnsi" w:cs="Arial"/>
          <w:i/>
        </w:rPr>
        <w:t xml:space="preserve"> jeśli zechcą </w:t>
      </w:r>
      <w:r w:rsidR="00F654EB">
        <w:rPr>
          <w:rFonts w:asciiTheme="minorHAnsi" w:hAnsiTheme="minorHAnsi" w:cs="Arial"/>
          <w:i/>
        </w:rPr>
        <w:t>wrócić</w:t>
      </w:r>
      <w:r w:rsidR="009A541E">
        <w:rPr>
          <w:rFonts w:asciiTheme="minorHAnsi" w:hAnsiTheme="minorHAnsi" w:cs="Arial"/>
          <w:i/>
        </w:rPr>
        <w:t xml:space="preserve"> </w:t>
      </w:r>
      <w:r w:rsidR="00234CC6">
        <w:rPr>
          <w:rFonts w:asciiTheme="minorHAnsi" w:hAnsiTheme="minorHAnsi" w:cs="Arial"/>
          <w:i/>
        </w:rPr>
        <w:t xml:space="preserve">walczyć </w:t>
      </w:r>
      <w:r w:rsidR="00FD4319">
        <w:rPr>
          <w:rFonts w:asciiTheme="minorHAnsi" w:hAnsiTheme="minorHAnsi" w:cs="Arial"/>
          <w:i/>
        </w:rPr>
        <w:t>do</w:t>
      </w:r>
      <w:r w:rsidR="009A541E">
        <w:rPr>
          <w:rFonts w:asciiTheme="minorHAnsi" w:hAnsiTheme="minorHAnsi" w:cs="Arial"/>
          <w:i/>
        </w:rPr>
        <w:t xml:space="preserve"> Ukrain</w:t>
      </w:r>
      <w:r w:rsidR="00FD4319">
        <w:rPr>
          <w:rFonts w:asciiTheme="minorHAnsi" w:hAnsiTheme="minorHAnsi" w:cs="Arial"/>
          <w:i/>
        </w:rPr>
        <w:t>y</w:t>
      </w:r>
      <w:r w:rsidR="009A541E">
        <w:rPr>
          <w:rFonts w:asciiTheme="minorHAnsi" w:hAnsiTheme="minorHAnsi" w:cs="Arial"/>
          <w:i/>
        </w:rPr>
        <w:t>. Mają gwarancję pracy u nas po powrocie.</w:t>
      </w:r>
      <w:r w:rsidR="00717D5F">
        <w:rPr>
          <w:rFonts w:asciiTheme="minorHAnsi" w:hAnsiTheme="minorHAnsi" w:cs="Arial"/>
          <w:i/>
        </w:rPr>
        <w:t xml:space="preserve"> </w:t>
      </w:r>
      <w:r w:rsidR="009A541E">
        <w:rPr>
          <w:rFonts w:asciiTheme="minorHAnsi" w:hAnsiTheme="minorHAnsi" w:cs="Arial"/>
          <w:i/>
        </w:rPr>
        <w:t xml:space="preserve">Przeznaczyliśmy </w:t>
      </w:r>
      <w:r w:rsidR="0012161F">
        <w:rPr>
          <w:rFonts w:asciiTheme="minorHAnsi" w:hAnsiTheme="minorHAnsi" w:cs="Arial"/>
          <w:i/>
        </w:rPr>
        <w:t xml:space="preserve"> </w:t>
      </w:r>
      <w:r w:rsidR="0012161F">
        <w:rPr>
          <w:rFonts w:asciiTheme="minorHAnsi" w:hAnsiTheme="minorHAnsi" w:cs="Arial"/>
          <w:i/>
        </w:rPr>
        <w:br/>
      </w:r>
      <w:r w:rsidR="009A541E">
        <w:rPr>
          <w:rFonts w:asciiTheme="minorHAnsi" w:hAnsiTheme="minorHAnsi" w:cs="Arial"/>
          <w:i/>
        </w:rPr>
        <w:t xml:space="preserve">z zasobów firmy 3 mieszkania w Krakowie i jedno we Wrocławiu dla zakwaterowania </w:t>
      </w:r>
      <w:r w:rsidR="0012161F">
        <w:rPr>
          <w:rFonts w:asciiTheme="minorHAnsi" w:hAnsiTheme="minorHAnsi" w:cs="Arial"/>
          <w:i/>
        </w:rPr>
        <w:t xml:space="preserve">uchodźców </w:t>
      </w:r>
      <w:r w:rsidR="0012161F">
        <w:rPr>
          <w:rFonts w:asciiTheme="minorHAnsi" w:hAnsiTheme="minorHAnsi" w:cs="Arial"/>
          <w:i/>
        </w:rPr>
        <w:br/>
      </w:r>
      <w:r w:rsidR="009A541E">
        <w:rPr>
          <w:rFonts w:asciiTheme="minorHAnsi" w:hAnsiTheme="minorHAnsi" w:cs="Arial"/>
          <w:i/>
        </w:rPr>
        <w:t>z Ukrainy</w:t>
      </w:r>
      <w:r w:rsidR="00717D5F">
        <w:rPr>
          <w:rFonts w:asciiTheme="minorHAnsi" w:hAnsiTheme="minorHAnsi" w:cs="Arial"/>
          <w:i/>
        </w:rPr>
        <w:t xml:space="preserve">. </w:t>
      </w:r>
      <w:r w:rsidR="0015205F">
        <w:rPr>
          <w:rFonts w:asciiTheme="minorHAnsi" w:hAnsiTheme="minorHAnsi" w:cs="Arial"/>
          <w:i/>
        </w:rPr>
        <w:t xml:space="preserve">Nasi pracownicy są zaangażowani w zbiórki i </w:t>
      </w:r>
      <w:r w:rsidR="00D62CB0">
        <w:rPr>
          <w:rFonts w:asciiTheme="minorHAnsi" w:hAnsiTheme="minorHAnsi" w:cs="Arial"/>
          <w:i/>
        </w:rPr>
        <w:t>inne różne formy pomocy</w:t>
      </w:r>
      <w:r w:rsidR="0015205F">
        <w:rPr>
          <w:rFonts w:asciiTheme="minorHAnsi" w:hAnsiTheme="minorHAnsi" w:cs="Arial"/>
          <w:i/>
        </w:rPr>
        <w:t xml:space="preserve"> organizowan</w:t>
      </w:r>
      <w:r w:rsidR="0039357A">
        <w:rPr>
          <w:rFonts w:asciiTheme="minorHAnsi" w:hAnsiTheme="minorHAnsi" w:cs="Arial"/>
          <w:i/>
        </w:rPr>
        <w:t>e</w:t>
      </w:r>
      <w:r w:rsidR="0015205F">
        <w:rPr>
          <w:rFonts w:asciiTheme="minorHAnsi" w:hAnsiTheme="minorHAnsi" w:cs="Arial"/>
          <w:i/>
        </w:rPr>
        <w:t xml:space="preserve"> przez Kraków i inne instytucje</w:t>
      </w:r>
      <w:r w:rsidR="00B004B0">
        <w:rPr>
          <w:rFonts w:asciiTheme="minorHAnsi" w:hAnsiTheme="minorHAnsi" w:cs="Arial"/>
          <w:i/>
        </w:rPr>
        <w:t xml:space="preserve"> pomocowe</w:t>
      </w:r>
      <w:r w:rsidR="005D68F2">
        <w:rPr>
          <w:rFonts w:asciiTheme="minorHAnsi" w:hAnsiTheme="minorHAnsi" w:cs="Arial"/>
          <w:i/>
        </w:rPr>
        <w:t xml:space="preserve"> </w:t>
      </w:r>
      <w:r w:rsidR="00B866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85084">
        <w:rPr>
          <w:rFonts w:asciiTheme="minorHAnsi" w:hAnsiTheme="minorHAnsi" w:cs="Arial"/>
        </w:rPr>
        <w:t xml:space="preserve">– </w:t>
      </w:r>
      <w:r w:rsidR="00785084" w:rsidRPr="002707B0">
        <w:rPr>
          <w:rFonts w:asciiTheme="minorHAnsi" w:hAnsiTheme="minorHAnsi" w:cs="Arial"/>
          <w:b/>
          <w:bCs/>
        </w:rPr>
        <w:t>dodaje</w:t>
      </w:r>
      <w:r w:rsidR="002707B0" w:rsidRPr="002707B0">
        <w:rPr>
          <w:rFonts w:asciiTheme="minorHAnsi" w:hAnsiTheme="minorHAnsi" w:cs="Arial"/>
          <w:b/>
          <w:bCs/>
        </w:rPr>
        <w:t xml:space="preserve"> Wiesław Nowak</w:t>
      </w:r>
      <w:r w:rsidR="00785084" w:rsidRPr="002707B0">
        <w:rPr>
          <w:rFonts w:asciiTheme="minorHAnsi" w:hAnsiTheme="minorHAnsi" w:cs="Arial"/>
          <w:b/>
          <w:bCs/>
        </w:rPr>
        <w:t>.</w:t>
      </w:r>
      <w:r w:rsidR="00785084" w:rsidRPr="002707B0">
        <w:rPr>
          <w:rFonts w:asciiTheme="minorHAnsi" w:hAnsiTheme="minorHAnsi" w:cs="Arial"/>
          <w:b/>
          <w:bCs/>
          <w:i/>
        </w:rPr>
        <w:t xml:space="preserve"> </w:t>
      </w:r>
    </w:p>
    <w:p w14:paraId="4438F8B7" w14:textId="77777777" w:rsidR="00785084" w:rsidRDefault="00785084" w:rsidP="000F692F">
      <w:pPr>
        <w:jc w:val="both"/>
        <w:rPr>
          <w:rFonts w:asciiTheme="minorHAnsi" w:hAnsiTheme="minorHAnsi" w:cs="Arial"/>
          <w:bCs/>
        </w:rPr>
      </w:pPr>
    </w:p>
    <w:p w14:paraId="7567E552" w14:textId="5717D11F" w:rsidR="00884DC9" w:rsidRPr="00CE0C5B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  <w:r w:rsidRPr="00CE0C5B">
        <w:rPr>
          <w:rFonts w:asciiTheme="minorHAnsi" w:hAnsiTheme="minorHAnsi" w:cs="Arial"/>
          <w:b/>
          <w:i/>
          <w:sz w:val="16"/>
          <w:szCs w:val="22"/>
        </w:rPr>
        <w:t>Dodatkowych informacji udziela</w:t>
      </w:r>
      <w:r w:rsidR="00A51974" w:rsidRPr="00CE0C5B">
        <w:rPr>
          <w:rFonts w:asciiTheme="minorHAnsi" w:hAnsiTheme="minorHAnsi" w:cs="Arial"/>
          <w:b/>
          <w:i/>
          <w:sz w:val="16"/>
          <w:szCs w:val="22"/>
        </w:rPr>
        <w:t>ją</w:t>
      </w:r>
      <w:r w:rsidRPr="00CE0C5B">
        <w:rPr>
          <w:rFonts w:asciiTheme="minorHAnsi" w:hAnsiTheme="minorHAnsi" w:cs="Arial"/>
          <w:b/>
          <w:i/>
          <w:sz w:val="16"/>
          <w:szCs w:val="22"/>
        </w:rPr>
        <w:t>:</w:t>
      </w:r>
    </w:p>
    <w:p w14:paraId="2DD575D3" w14:textId="77777777" w:rsidR="00884DC9" w:rsidRPr="00CE0C5B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</w:p>
    <w:p w14:paraId="21A30D67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Magda Kołodziejczyk</w:t>
      </w:r>
    </w:p>
    <w:p w14:paraId="0745E484" w14:textId="77777777" w:rsidR="00EF1D97" w:rsidRPr="00CE0C5B" w:rsidRDefault="00EF1D97" w:rsidP="00EF1D97">
      <w:pPr>
        <w:spacing w:after="0"/>
        <w:jc w:val="both"/>
        <w:rPr>
          <w:rStyle w:val="Hipercze"/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 xml:space="preserve">e-mail: </w:t>
      </w:r>
      <w:hyperlink r:id="rId9" w:history="1">
        <w:r w:rsidRPr="00CE0C5B">
          <w:rPr>
            <w:rStyle w:val="Hipercze"/>
            <w:rFonts w:cstheme="minorHAnsi"/>
            <w:sz w:val="18"/>
            <w:szCs w:val="24"/>
          </w:rPr>
          <w:t>magda.kolodziejczyk@mplusg.com.pl</w:t>
        </w:r>
      </w:hyperlink>
    </w:p>
    <w:p w14:paraId="1F5C42FE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T: 22 416 01 02, 501 16 88 07</w:t>
      </w:r>
    </w:p>
    <w:p w14:paraId="3182D61A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</w:p>
    <w:p w14:paraId="035C7665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Marta Kornet</w:t>
      </w:r>
    </w:p>
    <w:p w14:paraId="0D36B718" w14:textId="77777777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 xml:space="preserve">e-mail: </w:t>
      </w:r>
      <w:hyperlink r:id="rId10" w:history="1">
        <w:r w:rsidRPr="00CE0C5B">
          <w:rPr>
            <w:rStyle w:val="Hipercze"/>
            <w:rFonts w:cstheme="minorHAnsi"/>
            <w:sz w:val="18"/>
            <w:szCs w:val="24"/>
          </w:rPr>
          <w:t>marta.kornet@mplusg.com.pl</w:t>
        </w:r>
      </w:hyperlink>
    </w:p>
    <w:p w14:paraId="071AC241" w14:textId="2D1E862A" w:rsidR="00EF1D97" w:rsidRPr="00CE0C5B" w:rsidRDefault="00EF1D97" w:rsidP="00EF1D97">
      <w:pPr>
        <w:spacing w:after="0"/>
        <w:jc w:val="both"/>
        <w:rPr>
          <w:rFonts w:cstheme="minorHAnsi"/>
          <w:sz w:val="18"/>
          <w:szCs w:val="24"/>
        </w:rPr>
      </w:pPr>
      <w:r w:rsidRPr="00CE0C5B">
        <w:rPr>
          <w:rFonts w:cstheme="minorHAnsi"/>
          <w:sz w:val="18"/>
          <w:szCs w:val="24"/>
        </w:rPr>
        <w:t>T: 22 416 01 02, 503 186 855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Pr="00A00503" w:rsidRDefault="00805A0B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lastRenderedPageBreak/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0153" w14:textId="77777777" w:rsidR="00E20683" w:rsidRDefault="00E20683">
      <w:pPr>
        <w:spacing w:after="0" w:line="240" w:lineRule="auto"/>
      </w:pPr>
      <w:r>
        <w:separator/>
      </w:r>
    </w:p>
  </w:endnote>
  <w:endnote w:type="continuationSeparator" w:id="0">
    <w:p w14:paraId="6BF28B6C" w14:textId="77777777" w:rsidR="00E20683" w:rsidRDefault="00E20683">
      <w:pPr>
        <w:spacing w:after="0" w:line="240" w:lineRule="auto"/>
      </w:pPr>
      <w:r>
        <w:continuationSeparator/>
      </w:r>
    </w:p>
  </w:endnote>
  <w:endnote w:type="continuationNotice" w:id="1">
    <w:p w14:paraId="4CC91E29" w14:textId="77777777" w:rsidR="00E20683" w:rsidRDefault="00E20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61F">
      <w:rPr>
        <w:noProof/>
      </w:rPr>
      <w:t>4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0CFF" w14:textId="77777777" w:rsidR="00E20683" w:rsidRDefault="00E20683">
      <w:pPr>
        <w:spacing w:after="0" w:line="240" w:lineRule="auto"/>
      </w:pPr>
      <w:r>
        <w:separator/>
      </w:r>
    </w:p>
  </w:footnote>
  <w:footnote w:type="continuationSeparator" w:id="0">
    <w:p w14:paraId="5DA2742A" w14:textId="77777777" w:rsidR="00E20683" w:rsidRDefault="00E20683">
      <w:pPr>
        <w:spacing w:after="0" w:line="240" w:lineRule="auto"/>
      </w:pPr>
      <w:r>
        <w:continuationSeparator/>
      </w:r>
    </w:p>
  </w:footnote>
  <w:footnote w:type="continuationNotice" w:id="1">
    <w:p w14:paraId="4A7D2131" w14:textId="77777777" w:rsidR="00E20683" w:rsidRDefault="00E20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305D"/>
    <w:rsid w:val="00003610"/>
    <w:rsid w:val="00004EBE"/>
    <w:rsid w:val="00006763"/>
    <w:rsid w:val="00007B1D"/>
    <w:rsid w:val="000131F9"/>
    <w:rsid w:val="00014A56"/>
    <w:rsid w:val="00017975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12DE"/>
    <w:rsid w:val="00032E4E"/>
    <w:rsid w:val="00033402"/>
    <w:rsid w:val="000421D1"/>
    <w:rsid w:val="000429EC"/>
    <w:rsid w:val="00043494"/>
    <w:rsid w:val="00044807"/>
    <w:rsid w:val="00044E01"/>
    <w:rsid w:val="00047279"/>
    <w:rsid w:val="0004792D"/>
    <w:rsid w:val="00047A48"/>
    <w:rsid w:val="00050401"/>
    <w:rsid w:val="000522E9"/>
    <w:rsid w:val="00053605"/>
    <w:rsid w:val="0005416F"/>
    <w:rsid w:val="000542B1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E48"/>
    <w:rsid w:val="0007787E"/>
    <w:rsid w:val="0008009E"/>
    <w:rsid w:val="00083C96"/>
    <w:rsid w:val="00086CBB"/>
    <w:rsid w:val="0008798B"/>
    <w:rsid w:val="00092CED"/>
    <w:rsid w:val="0009402F"/>
    <w:rsid w:val="00097221"/>
    <w:rsid w:val="000A1F1D"/>
    <w:rsid w:val="000A3D2B"/>
    <w:rsid w:val="000A3DE5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3EEC"/>
    <w:rsid w:val="000D49A2"/>
    <w:rsid w:val="000E1BDC"/>
    <w:rsid w:val="000E332C"/>
    <w:rsid w:val="000E3A88"/>
    <w:rsid w:val="000E503C"/>
    <w:rsid w:val="000E514A"/>
    <w:rsid w:val="000E5C51"/>
    <w:rsid w:val="000F04B4"/>
    <w:rsid w:val="000F5EBE"/>
    <w:rsid w:val="000F692F"/>
    <w:rsid w:val="000F75A6"/>
    <w:rsid w:val="00100E89"/>
    <w:rsid w:val="0010120E"/>
    <w:rsid w:val="00105E18"/>
    <w:rsid w:val="001060DE"/>
    <w:rsid w:val="0010791E"/>
    <w:rsid w:val="0011119F"/>
    <w:rsid w:val="00112DE4"/>
    <w:rsid w:val="00112E80"/>
    <w:rsid w:val="001153C3"/>
    <w:rsid w:val="00115801"/>
    <w:rsid w:val="0011620E"/>
    <w:rsid w:val="00116D0A"/>
    <w:rsid w:val="0012161F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205"/>
    <w:rsid w:val="00143828"/>
    <w:rsid w:val="001440C9"/>
    <w:rsid w:val="00144600"/>
    <w:rsid w:val="00144928"/>
    <w:rsid w:val="0014540B"/>
    <w:rsid w:val="00146810"/>
    <w:rsid w:val="0015205F"/>
    <w:rsid w:val="00153496"/>
    <w:rsid w:val="00153AE1"/>
    <w:rsid w:val="001569B8"/>
    <w:rsid w:val="00156BFF"/>
    <w:rsid w:val="00164FB3"/>
    <w:rsid w:val="001664FB"/>
    <w:rsid w:val="00170953"/>
    <w:rsid w:val="001726D5"/>
    <w:rsid w:val="00173862"/>
    <w:rsid w:val="00174284"/>
    <w:rsid w:val="00175626"/>
    <w:rsid w:val="00175C46"/>
    <w:rsid w:val="00175E57"/>
    <w:rsid w:val="001766D4"/>
    <w:rsid w:val="00176D38"/>
    <w:rsid w:val="00177040"/>
    <w:rsid w:val="0017733F"/>
    <w:rsid w:val="001779A9"/>
    <w:rsid w:val="00181484"/>
    <w:rsid w:val="00182878"/>
    <w:rsid w:val="001829A7"/>
    <w:rsid w:val="00184A4B"/>
    <w:rsid w:val="001870B3"/>
    <w:rsid w:val="00187C27"/>
    <w:rsid w:val="00192567"/>
    <w:rsid w:val="001927FB"/>
    <w:rsid w:val="00194BE6"/>
    <w:rsid w:val="001958EA"/>
    <w:rsid w:val="00195CFA"/>
    <w:rsid w:val="0019753F"/>
    <w:rsid w:val="00197F4E"/>
    <w:rsid w:val="001A159E"/>
    <w:rsid w:val="001A36D2"/>
    <w:rsid w:val="001A3EDF"/>
    <w:rsid w:val="001B0776"/>
    <w:rsid w:val="001B0E11"/>
    <w:rsid w:val="001C07E2"/>
    <w:rsid w:val="001C39E0"/>
    <w:rsid w:val="001C49E3"/>
    <w:rsid w:val="001C4EE3"/>
    <w:rsid w:val="001C523B"/>
    <w:rsid w:val="001C79D4"/>
    <w:rsid w:val="001D3284"/>
    <w:rsid w:val="001D38C6"/>
    <w:rsid w:val="001D4CDE"/>
    <w:rsid w:val="001D5035"/>
    <w:rsid w:val="001E27F6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17D60"/>
    <w:rsid w:val="00217D8A"/>
    <w:rsid w:val="00224FDB"/>
    <w:rsid w:val="002267FD"/>
    <w:rsid w:val="002302F9"/>
    <w:rsid w:val="00230CFB"/>
    <w:rsid w:val="00233D5C"/>
    <w:rsid w:val="00234CC6"/>
    <w:rsid w:val="002377B8"/>
    <w:rsid w:val="00237BC0"/>
    <w:rsid w:val="002400BD"/>
    <w:rsid w:val="0024154C"/>
    <w:rsid w:val="00242E87"/>
    <w:rsid w:val="002454C0"/>
    <w:rsid w:val="002462D1"/>
    <w:rsid w:val="00250BFD"/>
    <w:rsid w:val="00253A56"/>
    <w:rsid w:val="002567C3"/>
    <w:rsid w:val="00260A7A"/>
    <w:rsid w:val="00261531"/>
    <w:rsid w:val="00262380"/>
    <w:rsid w:val="00263051"/>
    <w:rsid w:val="0026524F"/>
    <w:rsid w:val="00270739"/>
    <w:rsid w:val="002707B0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1DC5"/>
    <w:rsid w:val="00292C63"/>
    <w:rsid w:val="00295362"/>
    <w:rsid w:val="002A142B"/>
    <w:rsid w:val="002A144E"/>
    <w:rsid w:val="002A4BF1"/>
    <w:rsid w:val="002A5EAC"/>
    <w:rsid w:val="002B0A29"/>
    <w:rsid w:val="002B4946"/>
    <w:rsid w:val="002B7B02"/>
    <w:rsid w:val="002C34B3"/>
    <w:rsid w:val="002C4361"/>
    <w:rsid w:val="002C7511"/>
    <w:rsid w:val="002C7F70"/>
    <w:rsid w:val="002D2E24"/>
    <w:rsid w:val="002D3126"/>
    <w:rsid w:val="002D3E09"/>
    <w:rsid w:val="002D62A6"/>
    <w:rsid w:val="002E1F39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D8F"/>
    <w:rsid w:val="00310BAF"/>
    <w:rsid w:val="003125F5"/>
    <w:rsid w:val="003139F4"/>
    <w:rsid w:val="003171D0"/>
    <w:rsid w:val="00320040"/>
    <w:rsid w:val="0032188C"/>
    <w:rsid w:val="00322BCC"/>
    <w:rsid w:val="00324209"/>
    <w:rsid w:val="00324D39"/>
    <w:rsid w:val="003269B0"/>
    <w:rsid w:val="00327491"/>
    <w:rsid w:val="00330ED2"/>
    <w:rsid w:val="00331251"/>
    <w:rsid w:val="00332CBE"/>
    <w:rsid w:val="00336240"/>
    <w:rsid w:val="00336C97"/>
    <w:rsid w:val="00340B03"/>
    <w:rsid w:val="00341149"/>
    <w:rsid w:val="00342C22"/>
    <w:rsid w:val="00343F12"/>
    <w:rsid w:val="00344B9A"/>
    <w:rsid w:val="0034662B"/>
    <w:rsid w:val="00350A72"/>
    <w:rsid w:val="003534CD"/>
    <w:rsid w:val="0035401E"/>
    <w:rsid w:val="00355619"/>
    <w:rsid w:val="00355A0E"/>
    <w:rsid w:val="00356BE7"/>
    <w:rsid w:val="00357D14"/>
    <w:rsid w:val="003613A9"/>
    <w:rsid w:val="00363E60"/>
    <w:rsid w:val="00364013"/>
    <w:rsid w:val="00364422"/>
    <w:rsid w:val="00364FC9"/>
    <w:rsid w:val="00365EFB"/>
    <w:rsid w:val="003677EC"/>
    <w:rsid w:val="003706F0"/>
    <w:rsid w:val="00374270"/>
    <w:rsid w:val="0037437D"/>
    <w:rsid w:val="0037482C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357A"/>
    <w:rsid w:val="00394D3D"/>
    <w:rsid w:val="00395C46"/>
    <w:rsid w:val="00397F80"/>
    <w:rsid w:val="003A1AB5"/>
    <w:rsid w:val="003A5D39"/>
    <w:rsid w:val="003A7EFC"/>
    <w:rsid w:val="003B1465"/>
    <w:rsid w:val="003B1BA1"/>
    <w:rsid w:val="003B47EB"/>
    <w:rsid w:val="003B5B88"/>
    <w:rsid w:val="003C0A45"/>
    <w:rsid w:val="003C29B3"/>
    <w:rsid w:val="003C4947"/>
    <w:rsid w:val="003C50A1"/>
    <w:rsid w:val="003C5107"/>
    <w:rsid w:val="003C786C"/>
    <w:rsid w:val="003D14E4"/>
    <w:rsid w:val="003D352C"/>
    <w:rsid w:val="003D429C"/>
    <w:rsid w:val="003D6081"/>
    <w:rsid w:val="003D65F1"/>
    <w:rsid w:val="003D6CC4"/>
    <w:rsid w:val="003D78AA"/>
    <w:rsid w:val="003E0899"/>
    <w:rsid w:val="003E3B4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4021BB"/>
    <w:rsid w:val="00402525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2719D"/>
    <w:rsid w:val="00430A4D"/>
    <w:rsid w:val="0043154C"/>
    <w:rsid w:val="004324E3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3881"/>
    <w:rsid w:val="00454047"/>
    <w:rsid w:val="004540A3"/>
    <w:rsid w:val="00454531"/>
    <w:rsid w:val="00454649"/>
    <w:rsid w:val="00456F6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5CB5"/>
    <w:rsid w:val="00496CEB"/>
    <w:rsid w:val="004A018D"/>
    <w:rsid w:val="004A1E00"/>
    <w:rsid w:val="004A375F"/>
    <w:rsid w:val="004A4102"/>
    <w:rsid w:val="004B03DF"/>
    <w:rsid w:val="004B1376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D7343"/>
    <w:rsid w:val="004E226B"/>
    <w:rsid w:val="004E367B"/>
    <w:rsid w:val="004E5441"/>
    <w:rsid w:val="004E5FD6"/>
    <w:rsid w:val="004F3954"/>
    <w:rsid w:val="004F63F6"/>
    <w:rsid w:val="00501149"/>
    <w:rsid w:val="005019F9"/>
    <w:rsid w:val="00506B4D"/>
    <w:rsid w:val="00507906"/>
    <w:rsid w:val="00510BB9"/>
    <w:rsid w:val="00516327"/>
    <w:rsid w:val="0052323B"/>
    <w:rsid w:val="00524327"/>
    <w:rsid w:val="0052667E"/>
    <w:rsid w:val="00530285"/>
    <w:rsid w:val="00530DE4"/>
    <w:rsid w:val="00531766"/>
    <w:rsid w:val="00531D1D"/>
    <w:rsid w:val="0053217B"/>
    <w:rsid w:val="00532698"/>
    <w:rsid w:val="00532E4F"/>
    <w:rsid w:val="0053348E"/>
    <w:rsid w:val="005403B8"/>
    <w:rsid w:val="005476B7"/>
    <w:rsid w:val="00553EB5"/>
    <w:rsid w:val="00554406"/>
    <w:rsid w:val="00556934"/>
    <w:rsid w:val="0055793A"/>
    <w:rsid w:val="00562482"/>
    <w:rsid w:val="00564271"/>
    <w:rsid w:val="005704CA"/>
    <w:rsid w:val="00572596"/>
    <w:rsid w:val="00573C5D"/>
    <w:rsid w:val="00581DC5"/>
    <w:rsid w:val="00584CB1"/>
    <w:rsid w:val="00592C3A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C4399"/>
    <w:rsid w:val="005C5D9B"/>
    <w:rsid w:val="005D05E6"/>
    <w:rsid w:val="005D1DB2"/>
    <w:rsid w:val="005D5B5D"/>
    <w:rsid w:val="005D6254"/>
    <w:rsid w:val="005D68F2"/>
    <w:rsid w:val="005E437A"/>
    <w:rsid w:val="005E66BF"/>
    <w:rsid w:val="005E78BB"/>
    <w:rsid w:val="005F0516"/>
    <w:rsid w:val="005F3F9A"/>
    <w:rsid w:val="005F6BC2"/>
    <w:rsid w:val="005F7E01"/>
    <w:rsid w:val="00601A32"/>
    <w:rsid w:val="006024C1"/>
    <w:rsid w:val="00604E3C"/>
    <w:rsid w:val="00606558"/>
    <w:rsid w:val="006119FD"/>
    <w:rsid w:val="00612E3A"/>
    <w:rsid w:val="006159F4"/>
    <w:rsid w:val="00616052"/>
    <w:rsid w:val="0061732A"/>
    <w:rsid w:val="00622DB0"/>
    <w:rsid w:val="00626743"/>
    <w:rsid w:val="00631AEE"/>
    <w:rsid w:val="00637CDB"/>
    <w:rsid w:val="006405D0"/>
    <w:rsid w:val="006411CD"/>
    <w:rsid w:val="0064145F"/>
    <w:rsid w:val="00642543"/>
    <w:rsid w:val="00642A7F"/>
    <w:rsid w:val="00643286"/>
    <w:rsid w:val="00644DF8"/>
    <w:rsid w:val="00645590"/>
    <w:rsid w:val="00645F0A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490A"/>
    <w:rsid w:val="0067000C"/>
    <w:rsid w:val="00673C69"/>
    <w:rsid w:val="00674C8E"/>
    <w:rsid w:val="006811F7"/>
    <w:rsid w:val="006815E1"/>
    <w:rsid w:val="00684868"/>
    <w:rsid w:val="00684CA9"/>
    <w:rsid w:val="00684D92"/>
    <w:rsid w:val="00684F2E"/>
    <w:rsid w:val="006863D9"/>
    <w:rsid w:val="00686F08"/>
    <w:rsid w:val="00687097"/>
    <w:rsid w:val="00687B0C"/>
    <w:rsid w:val="006945AF"/>
    <w:rsid w:val="00697478"/>
    <w:rsid w:val="006A31AC"/>
    <w:rsid w:val="006A50D9"/>
    <w:rsid w:val="006A53B9"/>
    <w:rsid w:val="006B00B2"/>
    <w:rsid w:val="006B17B4"/>
    <w:rsid w:val="006B26DC"/>
    <w:rsid w:val="006B5DE4"/>
    <w:rsid w:val="006B78B9"/>
    <w:rsid w:val="006C25F8"/>
    <w:rsid w:val="006C4CAB"/>
    <w:rsid w:val="006D02D1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343D"/>
    <w:rsid w:val="007135D1"/>
    <w:rsid w:val="00713E01"/>
    <w:rsid w:val="007152A6"/>
    <w:rsid w:val="0071732C"/>
    <w:rsid w:val="00717D5F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4A5D"/>
    <w:rsid w:val="00754CDF"/>
    <w:rsid w:val="00754F1F"/>
    <w:rsid w:val="0075764F"/>
    <w:rsid w:val="00757CE2"/>
    <w:rsid w:val="00760A79"/>
    <w:rsid w:val="007630F7"/>
    <w:rsid w:val="00764F22"/>
    <w:rsid w:val="0076626F"/>
    <w:rsid w:val="00766B2D"/>
    <w:rsid w:val="0076713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084"/>
    <w:rsid w:val="007852B7"/>
    <w:rsid w:val="00785C24"/>
    <w:rsid w:val="00786C76"/>
    <w:rsid w:val="007871C3"/>
    <w:rsid w:val="00787281"/>
    <w:rsid w:val="00790494"/>
    <w:rsid w:val="007913D5"/>
    <w:rsid w:val="00791433"/>
    <w:rsid w:val="00791598"/>
    <w:rsid w:val="0079335F"/>
    <w:rsid w:val="0079518F"/>
    <w:rsid w:val="007A10E0"/>
    <w:rsid w:val="007A6CB3"/>
    <w:rsid w:val="007A73C6"/>
    <w:rsid w:val="007B231F"/>
    <w:rsid w:val="007B3F5C"/>
    <w:rsid w:val="007B5F79"/>
    <w:rsid w:val="007C1E1E"/>
    <w:rsid w:val="007C4808"/>
    <w:rsid w:val="007C6BEB"/>
    <w:rsid w:val="007C7A4D"/>
    <w:rsid w:val="007C7E8D"/>
    <w:rsid w:val="007D1EF3"/>
    <w:rsid w:val="007D502A"/>
    <w:rsid w:val="007D66F5"/>
    <w:rsid w:val="007D74E7"/>
    <w:rsid w:val="007D7867"/>
    <w:rsid w:val="007D7EA4"/>
    <w:rsid w:val="007E421A"/>
    <w:rsid w:val="007E429B"/>
    <w:rsid w:val="007E4A98"/>
    <w:rsid w:val="007E5662"/>
    <w:rsid w:val="007E6D55"/>
    <w:rsid w:val="007F0F3C"/>
    <w:rsid w:val="007F351A"/>
    <w:rsid w:val="007F7AD7"/>
    <w:rsid w:val="00800487"/>
    <w:rsid w:val="008027E6"/>
    <w:rsid w:val="00805A0B"/>
    <w:rsid w:val="00805BFC"/>
    <w:rsid w:val="00807BAB"/>
    <w:rsid w:val="00814F15"/>
    <w:rsid w:val="00815B73"/>
    <w:rsid w:val="00815BC0"/>
    <w:rsid w:val="0081603A"/>
    <w:rsid w:val="008162FE"/>
    <w:rsid w:val="00817FD5"/>
    <w:rsid w:val="00821177"/>
    <w:rsid w:val="008241FA"/>
    <w:rsid w:val="008242DC"/>
    <w:rsid w:val="00825EFC"/>
    <w:rsid w:val="0082767A"/>
    <w:rsid w:val="00832081"/>
    <w:rsid w:val="0083538A"/>
    <w:rsid w:val="0083751A"/>
    <w:rsid w:val="0084023F"/>
    <w:rsid w:val="00840DC1"/>
    <w:rsid w:val="00841D31"/>
    <w:rsid w:val="00841E1A"/>
    <w:rsid w:val="00843BA5"/>
    <w:rsid w:val="00843D84"/>
    <w:rsid w:val="00844853"/>
    <w:rsid w:val="0084700F"/>
    <w:rsid w:val="008505FF"/>
    <w:rsid w:val="00851464"/>
    <w:rsid w:val="008514F7"/>
    <w:rsid w:val="00853D7C"/>
    <w:rsid w:val="00856FD6"/>
    <w:rsid w:val="00857270"/>
    <w:rsid w:val="00860622"/>
    <w:rsid w:val="0086189F"/>
    <w:rsid w:val="00861ABD"/>
    <w:rsid w:val="00864994"/>
    <w:rsid w:val="00865B21"/>
    <w:rsid w:val="00865E36"/>
    <w:rsid w:val="00867331"/>
    <w:rsid w:val="0087118F"/>
    <w:rsid w:val="008744F2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9572F"/>
    <w:rsid w:val="008A39F1"/>
    <w:rsid w:val="008A3FDD"/>
    <w:rsid w:val="008A5FB2"/>
    <w:rsid w:val="008A65F6"/>
    <w:rsid w:val="008B03C5"/>
    <w:rsid w:val="008B06C6"/>
    <w:rsid w:val="008B0DE5"/>
    <w:rsid w:val="008B1F54"/>
    <w:rsid w:val="008B22A3"/>
    <w:rsid w:val="008B289D"/>
    <w:rsid w:val="008B6C21"/>
    <w:rsid w:val="008B7B8D"/>
    <w:rsid w:val="008C55C1"/>
    <w:rsid w:val="008C7060"/>
    <w:rsid w:val="008D1894"/>
    <w:rsid w:val="008D7542"/>
    <w:rsid w:val="008E07DB"/>
    <w:rsid w:val="008E1631"/>
    <w:rsid w:val="008E3E80"/>
    <w:rsid w:val="008E5CEC"/>
    <w:rsid w:val="008E62B2"/>
    <w:rsid w:val="008F131C"/>
    <w:rsid w:val="008F1443"/>
    <w:rsid w:val="008F16E6"/>
    <w:rsid w:val="008F308E"/>
    <w:rsid w:val="008F736F"/>
    <w:rsid w:val="008F7BD1"/>
    <w:rsid w:val="00900360"/>
    <w:rsid w:val="0090260D"/>
    <w:rsid w:val="00906149"/>
    <w:rsid w:val="00907DF7"/>
    <w:rsid w:val="009112AD"/>
    <w:rsid w:val="00914F1B"/>
    <w:rsid w:val="00915121"/>
    <w:rsid w:val="00920950"/>
    <w:rsid w:val="00921640"/>
    <w:rsid w:val="0092640E"/>
    <w:rsid w:val="0092642D"/>
    <w:rsid w:val="00927125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30ED"/>
    <w:rsid w:val="00944199"/>
    <w:rsid w:val="00946000"/>
    <w:rsid w:val="009506CC"/>
    <w:rsid w:val="009524E3"/>
    <w:rsid w:val="00956593"/>
    <w:rsid w:val="00956599"/>
    <w:rsid w:val="00956D5F"/>
    <w:rsid w:val="009611DD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024A"/>
    <w:rsid w:val="00987305"/>
    <w:rsid w:val="0099125C"/>
    <w:rsid w:val="00992BFD"/>
    <w:rsid w:val="00992D19"/>
    <w:rsid w:val="00995FDC"/>
    <w:rsid w:val="009A20DC"/>
    <w:rsid w:val="009A2214"/>
    <w:rsid w:val="009A25B5"/>
    <w:rsid w:val="009A2760"/>
    <w:rsid w:val="009A2A5A"/>
    <w:rsid w:val="009A541E"/>
    <w:rsid w:val="009A6B79"/>
    <w:rsid w:val="009A701F"/>
    <w:rsid w:val="009A7109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2528"/>
    <w:rsid w:val="009D4E75"/>
    <w:rsid w:val="009D4EF3"/>
    <w:rsid w:val="009D5F98"/>
    <w:rsid w:val="009D6B4A"/>
    <w:rsid w:val="009E2A76"/>
    <w:rsid w:val="009E5162"/>
    <w:rsid w:val="009E5289"/>
    <w:rsid w:val="009E58F2"/>
    <w:rsid w:val="009F09B7"/>
    <w:rsid w:val="009F2EA4"/>
    <w:rsid w:val="009F5694"/>
    <w:rsid w:val="009F58ED"/>
    <w:rsid w:val="00A00503"/>
    <w:rsid w:val="00A03253"/>
    <w:rsid w:val="00A04061"/>
    <w:rsid w:val="00A05581"/>
    <w:rsid w:val="00A055D2"/>
    <w:rsid w:val="00A06F16"/>
    <w:rsid w:val="00A10CC8"/>
    <w:rsid w:val="00A16B41"/>
    <w:rsid w:val="00A24AB3"/>
    <w:rsid w:val="00A24C76"/>
    <w:rsid w:val="00A31FFA"/>
    <w:rsid w:val="00A32C43"/>
    <w:rsid w:val="00A33C4E"/>
    <w:rsid w:val="00A33D88"/>
    <w:rsid w:val="00A41A1C"/>
    <w:rsid w:val="00A429B8"/>
    <w:rsid w:val="00A42C80"/>
    <w:rsid w:val="00A42E6C"/>
    <w:rsid w:val="00A4623B"/>
    <w:rsid w:val="00A46B86"/>
    <w:rsid w:val="00A4717B"/>
    <w:rsid w:val="00A5132B"/>
    <w:rsid w:val="00A51974"/>
    <w:rsid w:val="00A5224A"/>
    <w:rsid w:val="00A5313A"/>
    <w:rsid w:val="00A5426C"/>
    <w:rsid w:val="00A62243"/>
    <w:rsid w:val="00A62CE6"/>
    <w:rsid w:val="00A64475"/>
    <w:rsid w:val="00A65EC8"/>
    <w:rsid w:val="00A7237E"/>
    <w:rsid w:val="00A73E98"/>
    <w:rsid w:val="00A75ADF"/>
    <w:rsid w:val="00A75F75"/>
    <w:rsid w:val="00A76AFE"/>
    <w:rsid w:val="00A76C3B"/>
    <w:rsid w:val="00A77D4A"/>
    <w:rsid w:val="00A817D1"/>
    <w:rsid w:val="00A84812"/>
    <w:rsid w:val="00A941AB"/>
    <w:rsid w:val="00AA0F74"/>
    <w:rsid w:val="00AA147E"/>
    <w:rsid w:val="00AA1E5D"/>
    <w:rsid w:val="00AA4194"/>
    <w:rsid w:val="00AA5DDD"/>
    <w:rsid w:val="00AA5E69"/>
    <w:rsid w:val="00AA686B"/>
    <w:rsid w:val="00AB058B"/>
    <w:rsid w:val="00AB1DCA"/>
    <w:rsid w:val="00AB25A5"/>
    <w:rsid w:val="00AB4993"/>
    <w:rsid w:val="00AC059F"/>
    <w:rsid w:val="00AC15FE"/>
    <w:rsid w:val="00AC592A"/>
    <w:rsid w:val="00AC5DFD"/>
    <w:rsid w:val="00AD097E"/>
    <w:rsid w:val="00AD0F4D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35C0"/>
    <w:rsid w:val="00AF4A1E"/>
    <w:rsid w:val="00AF4BE3"/>
    <w:rsid w:val="00AF57CD"/>
    <w:rsid w:val="00AF5A54"/>
    <w:rsid w:val="00B004B0"/>
    <w:rsid w:val="00B010F3"/>
    <w:rsid w:val="00B0349A"/>
    <w:rsid w:val="00B05776"/>
    <w:rsid w:val="00B1052C"/>
    <w:rsid w:val="00B126C4"/>
    <w:rsid w:val="00B13B60"/>
    <w:rsid w:val="00B17975"/>
    <w:rsid w:val="00B21584"/>
    <w:rsid w:val="00B24616"/>
    <w:rsid w:val="00B24B38"/>
    <w:rsid w:val="00B257AB"/>
    <w:rsid w:val="00B263F0"/>
    <w:rsid w:val="00B26B15"/>
    <w:rsid w:val="00B273AE"/>
    <w:rsid w:val="00B314F9"/>
    <w:rsid w:val="00B35A9A"/>
    <w:rsid w:val="00B3606A"/>
    <w:rsid w:val="00B43F84"/>
    <w:rsid w:val="00B46715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866BD"/>
    <w:rsid w:val="00B90180"/>
    <w:rsid w:val="00B90F80"/>
    <w:rsid w:val="00B969CC"/>
    <w:rsid w:val="00BA25CC"/>
    <w:rsid w:val="00BA63A0"/>
    <w:rsid w:val="00BB334C"/>
    <w:rsid w:val="00BB3F50"/>
    <w:rsid w:val="00BB44C3"/>
    <w:rsid w:val="00BB4DC7"/>
    <w:rsid w:val="00BB4F0B"/>
    <w:rsid w:val="00BB6B12"/>
    <w:rsid w:val="00BC1922"/>
    <w:rsid w:val="00BC3D1D"/>
    <w:rsid w:val="00BC6671"/>
    <w:rsid w:val="00BD2A71"/>
    <w:rsid w:val="00BD7BA1"/>
    <w:rsid w:val="00BE23AE"/>
    <w:rsid w:val="00BE304E"/>
    <w:rsid w:val="00BE493F"/>
    <w:rsid w:val="00BE5F6A"/>
    <w:rsid w:val="00BE674E"/>
    <w:rsid w:val="00BE69C2"/>
    <w:rsid w:val="00BF3A9F"/>
    <w:rsid w:val="00BF5395"/>
    <w:rsid w:val="00C0459C"/>
    <w:rsid w:val="00C05178"/>
    <w:rsid w:val="00C10870"/>
    <w:rsid w:val="00C114AA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5AFE"/>
    <w:rsid w:val="00C466EB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3D33"/>
    <w:rsid w:val="00C6451F"/>
    <w:rsid w:val="00C650CC"/>
    <w:rsid w:val="00C66314"/>
    <w:rsid w:val="00C67757"/>
    <w:rsid w:val="00C76A82"/>
    <w:rsid w:val="00C807FE"/>
    <w:rsid w:val="00C815AF"/>
    <w:rsid w:val="00C81EF4"/>
    <w:rsid w:val="00C838B3"/>
    <w:rsid w:val="00C92EA9"/>
    <w:rsid w:val="00C9348F"/>
    <w:rsid w:val="00C93868"/>
    <w:rsid w:val="00C97F2B"/>
    <w:rsid w:val="00CA018A"/>
    <w:rsid w:val="00CA247B"/>
    <w:rsid w:val="00CA24D2"/>
    <w:rsid w:val="00CA2CD9"/>
    <w:rsid w:val="00CA7AC5"/>
    <w:rsid w:val="00CB0E33"/>
    <w:rsid w:val="00CB22C2"/>
    <w:rsid w:val="00CB4377"/>
    <w:rsid w:val="00CB4C1F"/>
    <w:rsid w:val="00CB715E"/>
    <w:rsid w:val="00CB72BD"/>
    <w:rsid w:val="00CC350A"/>
    <w:rsid w:val="00CC3537"/>
    <w:rsid w:val="00CC51DA"/>
    <w:rsid w:val="00CC532F"/>
    <w:rsid w:val="00CC6683"/>
    <w:rsid w:val="00CC67A2"/>
    <w:rsid w:val="00CD1A14"/>
    <w:rsid w:val="00CD476E"/>
    <w:rsid w:val="00CD5034"/>
    <w:rsid w:val="00CD726E"/>
    <w:rsid w:val="00CD7E44"/>
    <w:rsid w:val="00CE0C5B"/>
    <w:rsid w:val="00CE0F44"/>
    <w:rsid w:val="00CE2657"/>
    <w:rsid w:val="00CE2D57"/>
    <w:rsid w:val="00CE66FA"/>
    <w:rsid w:val="00CE7A93"/>
    <w:rsid w:val="00CF0687"/>
    <w:rsid w:val="00CF0718"/>
    <w:rsid w:val="00CF205F"/>
    <w:rsid w:val="00CF3E00"/>
    <w:rsid w:val="00CF4BFC"/>
    <w:rsid w:val="00CF6D6C"/>
    <w:rsid w:val="00CF7846"/>
    <w:rsid w:val="00D03A2A"/>
    <w:rsid w:val="00D04660"/>
    <w:rsid w:val="00D075C3"/>
    <w:rsid w:val="00D10E3B"/>
    <w:rsid w:val="00D113C9"/>
    <w:rsid w:val="00D11C40"/>
    <w:rsid w:val="00D1240E"/>
    <w:rsid w:val="00D12EDA"/>
    <w:rsid w:val="00D13F0C"/>
    <w:rsid w:val="00D1413C"/>
    <w:rsid w:val="00D177CE"/>
    <w:rsid w:val="00D21D4C"/>
    <w:rsid w:val="00D22903"/>
    <w:rsid w:val="00D231B8"/>
    <w:rsid w:val="00D238FC"/>
    <w:rsid w:val="00D24FAC"/>
    <w:rsid w:val="00D25F00"/>
    <w:rsid w:val="00D265B5"/>
    <w:rsid w:val="00D31A92"/>
    <w:rsid w:val="00D31B4E"/>
    <w:rsid w:val="00D3347E"/>
    <w:rsid w:val="00D34C5F"/>
    <w:rsid w:val="00D34EF8"/>
    <w:rsid w:val="00D35575"/>
    <w:rsid w:val="00D37635"/>
    <w:rsid w:val="00D4162E"/>
    <w:rsid w:val="00D41CC7"/>
    <w:rsid w:val="00D41E87"/>
    <w:rsid w:val="00D4206A"/>
    <w:rsid w:val="00D43009"/>
    <w:rsid w:val="00D501DC"/>
    <w:rsid w:val="00D5023E"/>
    <w:rsid w:val="00D51AAB"/>
    <w:rsid w:val="00D51D26"/>
    <w:rsid w:val="00D53A97"/>
    <w:rsid w:val="00D53BA4"/>
    <w:rsid w:val="00D53FAA"/>
    <w:rsid w:val="00D54823"/>
    <w:rsid w:val="00D54D85"/>
    <w:rsid w:val="00D560BE"/>
    <w:rsid w:val="00D60B87"/>
    <w:rsid w:val="00D6158D"/>
    <w:rsid w:val="00D61DF1"/>
    <w:rsid w:val="00D62CB0"/>
    <w:rsid w:val="00D635F6"/>
    <w:rsid w:val="00D63663"/>
    <w:rsid w:val="00D6501B"/>
    <w:rsid w:val="00D71A38"/>
    <w:rsid w:val="00D81529"/>
    <w:rsid w:val="00D874A6"/>
    <w:rsid w:val="00D916AD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C7599"/>
    <w:rsid w:val="00DD0297"/>
    <w:rsid w:val="00DD5522"/>
    <w:rsid w:val="00DD603E"/>
    <w:rsid w:val="00DD7280"/>
    <w:rsid w:val="00DE0856"/>
    <w:rsid w:val="00DE1193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E0064A"/>
    <w:rsid w:val="00E00AF9"/>
    <w:rsid w:val="00E01C6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068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4713F"/>
    <w:rsid w:val="00E503EE"/>
    <w:rsid w:val="00E50A8B"/>
    <w:rsid w:val="00E51A20"/>
    <w:rsid w:val="00E524A2"/>
    <w:rsid w:val="00E52D94"/>
    <w:rsid w:val="00E56520"/>
    <w:rsid w:val="00E57811"/>
    <w:rsid w:val="00E61607"/>
    <w:rsid w:val="00E65648"/>
    <w:rsid w:val="00E66DBB"/>
    <w:rsid w:val="00E674FB"/>
    <w:rsid w:val="00E71004"/>
    <w:rsid w:val="00E71135"/>
    <w:rsid w:val="00E727D1"/>
    <w:rsid w:val="00E7282A"/>
    <w:rsid w:val="00E73B60"/>
    <w:rsid w:val="00E74475"/>
    <w:rsid w:val="00E75948"/>
    <w:rsid w:val="00E76DC3"/>
    <w:rsid w:val="00E80A48"/>
    <w:rsid w:val="00E80DFB"/>
    <w:rsid w:val="00E81B20"/>
    <w:rsid w:val="00E84649"/>
    <w:rsid w:val="00E91D7C"/>
    <w:rsid w:val="00E958BE"/>
    <w:rsid w:val="00E95C3C"/>
    <w:rsid w:val="00EA0199"/>
    <w:rsid w:val="00EA2A74"/>
    <w:rsid w:val="00EA4A36"/>
    <w:rsid w:val="00EA6E53"/>
    <w:rsid w:val="00EB18DD"/>
    <w:rsid w:val="00EB33B8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103D"/>
    <w:rsid w:val="00ED21D7"/>
    <w:rsid w:val="00ED2AA8"/>
    <w:rsid w:val="00ED3837"/>
    <w:rsid w:val="00ED54D0"/>
    <w:rsid w:val="00ED54FD"/>
    <w:rsid w:val="00ED6B21"/>
    <w:rsid w:val="00ED79F1"/>
    <w:rsid w:val="00EE08C8"/>
    <w:rsid w:val="00EE3F15"/>
    <w:rsid w:val="00EE4152"/>
    <w:rsid w:val="00EF1D97"/>
    <w:rsid w:val="00EF3D17"/>
    <w:rsid w:val="00EF5FF7"/>
    <w:rsid w:val="00EF6002"/>
    <w:rsid w:val="00F052B5"/>
    <w:rsid w:val="00F07A47"/>
    <w:rsid w:val="00F10926"/>
    <w:rsid w:val="00F1135A"/>
    <w:rsid w:val="00F12753"/>
    <w:rsid w:val="00F12FD2"/>
    <w:rsid w:val="00F179D5"/>
    <w:rsid w:val="00F211F1"/>
    <w:rsid w:val="00F225A6"/>
    <w:rsid w:val="00F23D81"/>
    <w:rsid w:val="00F25520"/>
    <w:rsid w:val="00F2681B"/>
    <w:rsid w:val="00F30931"/>
    <w:rsid w:val="00F31DBB"/>
    <w:rsid w:val="00F32A2F"/>
    <w:rsid w:val="00F32FF3"/>
    <w:rsid w:val="00F35D36"/>
    <w:rsid w:val="00F36E92"/>
    <w:rsid w:val="00F37C7D"/>
    <w:rsid w:val="00F37CD7"/>
    <w:rsid w:val="00F43CE4"/>
    <w:rsid w:val="00F44360"/>
    <w:rsid w:val="00F4450B"/>
    <w:rsid w:val="00F4524E"/>
    <w:rsid w:val="00F46D23"/>
    <w:rsid w:val="00F52342"/>
    <w:rsid w:val="00F52BBA"/>
    <w:rsid w:val="00F52C19"/>
    <w:rsid w:val="00F5335F"/>
    <w:rsid w:val="00F6220C"/>
    <w:rsid w:val="00F62D9D"/>
    <w:rsid w:val="00F62F75"/>
    <w:rsid w:val="00F63430"/>
    <w:rsid w:val="00F64A18"/>
    <w:rsid w:val="00F64C40"/>
    <w:rsid w:val="00F64EC9"/>
    <w:rsid w:val="00F654EB"/>
    <w:rsid w:val="00F66E99"/>
    <w:rsid w:val="00F67E9D"/>
    <w:rsid w:val="00F71291"/>
    <w:rsid w:val="00F71ACD"/>
    <w:rsid w:val="00F73E43"/>
    <w:rsid w:val="00F7401A"/>
    <w:rsid w:val="00F74C6E"/>
    <w:rsid w:val="00F76AF1"/>
    <w:rsid w:val="00F76BD1"/>
    <w:rsid w:val="00F80599"/>
    <w:rsid w:val="00F80911"/>
    <w:rsid w:val="00F821E6"/>
    <w:rsid w:val="00F85F90"/>
    <w:rsid w:val="00F87BF4"/>
    <w:rsid w:val="00F921FE"/>
    <w:rsid w:val="00F92D2C"/>
    <w:rsid w:val="00F9472D"/>
    <w:rsid w:val="00F95A5D"/>
    <w:rsid w:val="00F96C5D"/>
    <w:rsid w:val="00FA1322"/>
    <w:rsid w:val="00FA1944"/>
    <w:rsid w:val="00FA1EF2"/>
    <w:rsid w:val="00FA2D68"/>
    <w:rsid w:val="00FB0C15"/>
    <w:rsid w:val="00FB28BF"/>
    <w:rsid w:val="00FB2CD0"/>
    <w:rsid w:val="00FB495D"/>
    <w:rsid w:val="00FB661A"/>
    <w:rsid w:val="00FC068E"/>
    <w:rsid w:val="00FC0E39"/>
    <w:rsid w:val="00FC36EA"/>
    <w:rsid w:val="00FC4622"/>
    <w:rsid w:val="00FC4A32"/>
    <w:rsid w:val="00FC76D7"/>
    <w:rsid w:val="00FD0852"/>
    <w:rsid w:val="00FD4319"/>
    <w:rsid w:val="00FD44AA"/>
    <w:rsid w:val="00FD5057"/>
    <w:rsid w:val="00FE2D35"/>
    <w:rsid w:val="00FE6513"/>
    <w:rsid w:val="00FF0050"/>
    <w:rsid w:val="00FF57C8"/>
    <w:rsid w:val="00FF5979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E6F2E-31D7-444B-9FEA-17606CA6A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EB125-91CB-492F-8D75-F3F6C3E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 Kolodziejczyk</cp:lastModifiedBy>
  <cp:revision>3</cp:revision>
  <cp:lastPrinted>2022-03-01T11:09:00Z</cp:lastPrinted>
  <dcterms:created xsi:type="dcterms:W3CDTF">2022-03-02T14:34:00Z</dcterms:created>
  <dcterms:modified xsi:type="dcterms:W3CDTF">2022-03-02T14:35:00Z</dcterms:modified>
</cp:coreProperties>
</file>